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rPr>
      </w:pPr>
      <w:bookmarkStart w:id="0" w:name="_Toc29434_WPSOffice_Level2"/>
      <w:bookmarkStart w:id="1" w:name="OLE_LINK4"/>
      <w:r>
        <w:rPr>
          <w:rFonts w:hint="eastAsia"/>
          <w:b/>
          <w:sz w:val="44"/>
          <w:lang w:val="en-US" w:eastAsia="zh-CN"/>
        </w:rPr>
        <w:t>采购</w:t>
      </w:r>
      <w:r>
        <w:rPr>
          <w:rFonts w:hint="eastAsia"/>
          <w:b/>
          <w:sz w:val="44"/>
        </w:rPr>
        <w:t>需求书</w:t>
      </w:r>
      <w:bookmarkEnd w:id="0"/>
    </w:p>
    <w:p>
      <w:pPr>
        <w:rPr>
          <w:sz w:val="28"/>
          <w:szCs w:val="28"/>
        </w:rPr>
      </w:pPr>
    </w:p>
    <w:tbl>
      <w:tblPr>
        <w:tblStyle w:val="7"/>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97"/>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highlight w:val="none"/>
                <w:lang w:eastAsia="zh-CN"/>
              </w:rPr>
            </w:pPr>
            <w:r>
              <w:rPr>
                <w:rFonts w:hint="eastAsia" w:ascii="仿宋" w:hAnsi="仿宋" w:eastAsia="仿宋" w:cs="楷体"/>
                <w:color w:val="auto"/>
                <w:sz w:val="24"/>
                <w:szCs w:val="24"/>
                <w:highlight w:val="none"/>
                <w:lang w:eastAsia="zh-CN"/>
              </w:rPr>
              <w:t>序号</w:t>
            </w:r>
          </w:p>
        </w:tc>
        <w:tc>
          <w:tcPr>
            <w:tcW w:w="2097" w:type="dxa"/>
            <w:vAlign w:val="center"/>
          </w:tcPr>
          <w:p>
            <w:pPr>
              <w:jc w:val="cente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类别</w:t>
            </w:r>
          </w:p>
        </w:tc>
        <w:tc>
          <w:tcPr>
            <w:tcW w:w="6259" w:type="dxa"/>
            <w:vAlign w:val="center"/>
          </w:tcPr>
          <w:p>
            <w:pPr>
              <w:jc w:val="center"/>
              <w:rPr>
                <w:rFonts w:hint="eastAsia" w:ascii="仿宋" w:hAnsi="仿宋" w:eastAsia="仿宋" w:cs="楷体"/>
                <w:color w:val="auto"/>
                <w:sz w:val="24"/>
                <w:szCs w:val="24"/>
                <w:highlight w:val="none"/>
                <w:lang w:eastAsia="zh-CN"/>
              </w:rPr>
            </w:pPr>
            <w:r>
              <w:rPr>
                <w:rFonts w:hint="eastAsia" w:ascii="仿宋" w:hAnsi="仿宋" w:eastAsia="仿宋" w:cs="仿宋"/>
                <w:color w:val="auto"/>
                <w:sz w:val="24"/>
                <w:szCs w:val="24"/>
                <w:highlight w:val="no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1</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名称</w:t>
            </w:r>
          </w:p>
        </w:tc>
        <w:tc>
          <w:tcPr>
            <w:tcW w:w="6259" w:type="dxa"/>
            <w:vAlign w:val="center"/>
          </w:tcPr>
          <w:p>
            <w:pPr>
              <w:rPr>
                <w:rFonts w:hint="default" w:ascii="仿宋" w:hAnsi="仿宋" w:eastAsia="仿宋" w:cs="楷体"/>
                <w:color w:val="auto"/>
                <w:sz w:val="24"/>
                <w:szCs w:val="24"/>
                <w:highlight w:val="none"/>
                <w:lang w:val="en-US" w:eastAsia="zh-CN"/>
              </w:rPr>
            </w:pPr>
            <w:r>
              <w:rPr>
                <w:rFonts w:hint="eastAsia" w:ascii="仿宋" w:hAnsi="仿宋" w:eastAsia="仿宋" w:cs="楷体"/>
                <w:color w:val="auto"/>
                <w:sz w:val="24"/>
                <w:highlight w:val="none"/>
              </w:rPr>
              <w:t>汾江路立交工程</w:t>
            </w:r>
            <w:bookmarkStart w:id="2" w:name="OLE_LINK1"/>
            <w:r>
              <w:rPr>
                <w:rFonts w:hint="eastAsia" w:ascii="仿宋" w:hAnsi="仿宋" w:eastAsia="仿宋" w:cs="楷体"/>
                <w:color w:val="auto"/>
                <w:sz w:val="24"/>
                <w:szCs w:val="24"/>
                <w:highlight w:val="none"/>
                <w:lang w:val="en-US" w:eastAsia="zh-CN"/>
              </w:rPr>
              <w:t>项目涉地铁保护安全评估</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2</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项目业主情况</w:t>
            </w:r>
          </w:p>
        </w:tc>
        <w:tc>
          <w:tcPr>
            <w:tcW w:w="6259" w:type="dxa"/>
            <w:vAlign w:val="center"/>
          </w:tcPr>
          <w:p>
            <w:pPr>
              <w:pStyle w:val="11"/>
              <w:spacing w:before="55" w:line="230" w:lineRule="auto"/>
              <w:ind w:left="0"/>
              <w:rPr>
                <w:rFonts w:hint="eastAsia" w:cs="楷体"/>
                <w:color w:val="auto"/>
                <w:sz w:val="24"/>
                <w:szCs w:val="24"/>
                <w:highlight w:val="none"/>
                <w:lang w:eastAsia="zh-CN"/>
              </w:rPr>
            </w:pPr>
            <w:r>
              <w:rPr>
                <w:rFonts w:hint="eastAsia" w:cs="楷体"/>
                <w:color w:val="auto"/>
                <w:spacing w:val="0"/>
                <w:sz w:val="24"/>
                <w:szCs w:val="24"/>
                <w:highlight w:val="none"/>
                <w:lang w:eastAsia="zh-CN"/>
              </w:rPr>
              <w:t>项目业主名称：广东佛盈汇建工程管理有限公司</w:t>
            </w:r>
          </w:p>
          <w:p>
            <w:pPr>
              <w:pStyle w:val="11"/>
              <w:spacing w:before="75" w:line="230" w:lineRule="auto"/>
              <w:ind w:left="0"/>
              <w:rPr>
                <w:rFonts w:hint="eastAsia" w:cs="楷体"/>
                <w:color w:val="auto"/>
                <w:sz w:val="24"/>
                <w:szCs w:val="24"/>
                <w:highlight w:val="none"/>
                <w:lang w:eastAsia="zh-CN"/>
              </w:rPr>
            </w:pPr>
            <w:r>
              <w:rPr>
                <w:rFonts w:hint="eastAsia" w:cs="楷体"/>
                <w:color w:val="auto"/>
                <w:spacing w:val="0"/>
                <w:sz w:val="24"/>
                <w:szCs w:val="24"/>
                <w:highlight w:val="none"/>
                <w:lang w:eastAsia="zh-CN"/>
              </w:rPr>
              <w:t>地址：佛山市禅城区轻工南六街6号</w:t>
            </w:r>
          </w:p>
          <w:p>
            <w:pPr>
              <w:pStyle w:val="11"/>
              <w:spacing w:before="75" w:line="232" w:lineRule="auto"/>
              <w:ind w:left="0"/>
              <w:rPr>
                <w:rFonts w:hint="eastAsia" w:cs="楷体"/>
                <w:color w:val="auto"/>
                <w:sz w:val="24"/>
                <w:szCs w:val="24"/>
                <w:highlight w:val="none"/>
                <w:lang w:eastAsia="zh-CN"/>
              </w:rPr>
            </w:pPr>
            <w:r>
              <w:rPr>
                <w:rFonts w:hint="eastAsia" w:cs="楷体"/>
                <w:color w:val="auto"/>
                <w:spacing w:val="0"/>
                <w:sz w:val="24"/>
                <w:szCs w:val="24"/>
                <w:highlight w:val="none"/>
                <w:lang w:eastAsia="zh-CN"/>
              </w:rPr>
              <w:t>联系电话：0757-8250058</w:t>
            </w:r>
            <w:r>
              <w:rPr>
                <w:rFonts w:hint="eastAsia" w:cs="楷体"/>
                <w:color w:val="auto"/>
                <w:spacing w:val="0"/>
                <w:sz w:val="24"/>
                <w:szCs w:val="24"/>
                <w:highlight w:val="none"/>
                <w:lang w:val="en-US" w:eastAsia="zh-CN"/>
              </w:rPr>
              <w:t>5</w:t>
            </w:r>
          </w:p>
          <w:p>
            <w:pPr>
              <w:rPr>
                <w:rFonts w:ascii="仿宋" w:hAnsi="仿宋" w:eastAsia="仿宋" w:cs="楷体"/>
                <w:color w:val="auto"/>
                <w:sz w:val="24"/>
                <w:szCs w:val="24"/>
                <w:highlight w:val="none"/>
              </w:rPr>
            </w:pPr>
            <w:r>
              <w:rPr>
                <w:rFonts w:hint="eastAsia" w:ascii="仿宋" w:hAnsi="仿宋" w:eastAsia="仿宋" w:cs="楷体"/>
                <w:color w:val="auto"/>
                <w:spacing w:val="0"/>
                <w:sz w:val="24"/>
                <w:highlight w:val="none"/>
              </w:rPr>
              <w:t>联系人：</w:t>
            </w:r>
            <w:r>
              <w:rPr>
                <w:rFonts w:hint="eastAsia" w:ascii="仿宋" w:hAnsi="仿宋" w:eastAsia="仿宋" w:cs="楷体"/>
                <w:color w:val="auto"/>
                <w:spacing w:val="0"/>
                <w:sz w:val="24"/>
                <w:highlight w:val="none"/>
                <w:lang w:val="en-US" w:eastAsia="zh-CN"/>
              </w:rPr>
              <w:t>黄</w:t>
            </w:r>
            <w:r>
              <w:rPr>
                <w:rFonts w:hint="eastAsia" w:ascii="仿宋" w:hAnsi="仿宋" w:eastAsia="仿宋" w:cs="楷体"/>
                <w:color w:val="auto"/>
                <w:spacing w:val="0"/>
                <w:sz w:val="24"/>
                <w:highlight w:val="none"/>
              </w:rPr>
              <w:t>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highlight w:val="none"/>
                <w:lang w:eastAsia="zh-CN"/>
              </w:rPr>
            </w:pPr>
            <w:r>
              <w:rPr>
                <w:rFonts w:hint="eastAsia" w:ascii="仿宋" w:hAnsi="仿宋" w:eastAsia="仿宋" w:cs="楷体"/>
                <w:color w:val="auto"/>
                <w:sz w:val="24"/>
                <w:szCs w:val="24"/>
                <w:highlight w:val="none"/>
                <w:lang w:val="en-US" w:eastAsia="zh-CN"/>
              </w:rPr>
              <w:t>3</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对</w:t>
            </w:r>
            <w:r>
              <w:rPr>
                <w:rFonts w:hint="eastAsia" w:ascii="仿宋" w:hAnsi="仿宋" w:eastAsia="仿宋" w:cs="楷体"/>
                <w:color w:val="auto"/>
                <w:sz w:val="24"/>
                <w:szCs w:val="24"/>
                <w:highlight w:val="none"/>
                <w:lang w:val="en-US" w:eastAsia="zh-CN"/>
              </w:rPr>
              <w:t>投标单位</w:t>
            </w:r>
            <w:r>
              <w:rPr>
                <w:rFonts w:hint="eastAsia" w:ascii="仿宋" w:hAnsi="仿宋" w:eastAsia="仿宋" w:cs="楷体"/>
                <w:color w:val="auto"/>
                <w:sz w:val="24"/>
                <w:szCs w:val="24"/>
                <w:highlight w:val="none"/>
              </w:rPr>
              <w:t>的资质要求</w:t>
            </w:r>
          </w:p>
        </w:tc>
        <w:tc>
          <w:tcPr>
            <w:tcW w:w="6259" w:type="dxa"/>
            <w:vAlign w:val="center"/>
          </w:tcPr>
          <w:p>
            <w:pPr>
              <w:numPr>
                <w:ilvl w:val="-1"/>
                <w:numId w:val="0"/>
              </w:numPr>
              <w:rPr>
                <w:rFonts w:hint="eastAsia" w:ascii="仿宋" w:hAnsi="仿宋" w:eastAsia="仿宋" w:cs="楷体"/>
                <w:color w:val="auto"/>
                <w:sz w:val="24"/>
                <w:highlight w:val="none"/>
              </w:rPr>
            </w:pPr>
            <w:r>
              <w:rPr>
                <w:rFonts w:hint="eastAsia" w:ascii="仿宋" w:hAnsi="仿宋" w:eastAsia="仿宋" w:cs="楷体"/>
                <w:color w:val="auto"/>
                <w:sz w:val="24"/>
                <w:highlight w:val="none"/>
                <w:lang w:val="en-US" w:eastAsia="zh-CN"/>
              </w:rPr>
              <w:t>1.投标单位</w:t>
            </w:r>
            <w:r>
              <w:rPr>
                <w:rFonts w:hint="eastAsia" w:ascii="仿宋" w:hAnsi="仿宋" w:eastAsia="仿宋" w:cs="楷体"/>
                <w:color w:val="auto"/>
                <w:sz w:val="24"/>
                <w:highlight w:val="none"/>
              </w:rPr>
              <w:t>应具有独立法人资格并依法取得有效的营业执照。</w:t>
            </w:r>
          </w:p>
          <w:p>
            <w:pPr>
              <w:rPr>
                <w:rFonts w:hint="eastAsia" w:ascii="仿宋" w:hAnsi="仿宋" w:eastAsia="仿宋" w:cs="楷体"/>
                <w:color w:val="auto"/>
                <w:sz w:val="24"/>
                <w:highlight w:val="none"/>
                <w:lang w:val="en-US" w:eastAsia="zh-CN"/>
              </w:rPr>
            </w:pPr>
            <w:r>
              <w:rPr>
                <w:rFonts w:hint="eastAsia" w:ascii="仿宋" w:hAnsi="仿宋" w:eastAsia="仿宋" w:cs="楷体"/>
                <w:color w:val="auto"/>
                <w:sz w:val="24"/>
                <w:highlight w:val="none"/>
                <w:lang w:val="en-US" w:eastAsia="zh-CN"/>
              </w:rPr>
              <w:t>2.资质要求：具备以下（1）或（2）条件之一：</w:t>
            </w:r>
          </w:p>
          <w:p>
            <w:pPr>
              <w:rPr>
                <w:rFonts w:hint="eastAsia" w:ascii="仿宋" w:hAnsi="仿宋" w:eastAsia="仿宋" w:cs="楷体"/>
                <w:color w:val="auto"/>
                <w:sz w:val="24"/>
                <w:highlight w:val="none"/>
                <w:lang w:val="en-US" w:eastAsia="zh-CN"/>
              </w:rPr>
            </w:pPr>
            <w:r>
              <w:rPr>
                <w:rFonts w:hint="eastAsia" w:ascii="仿宋" w:hAnsi="仿宋" w:eastAsia="仿宋" w:cs="楷体"/>
                <w:color w:val="auto"/>
                <w:sz w:val="24"/>
                <w:highlight w:val="none"/>
                <w:lang w:val="en-US" w:eastAsia="zh-CN"/>
              </w:rPr>
              <w:t>（1）具有工程设计综合资质甲级或工程设计市政行业甲级资质或市政行业（轨道交通工程）专业工程设计甲级资质；</w:t>
            </w:r>
          </w:p>
          <w:p>
            <w:pPr>
              <w:rPr>
                <w:rFonts w:hint="eastAsia" w:ascii="仿宋" w:hAnsi="仿宋" w:eastAsia="仿宋" w:cs="楷体"/>
                <w:color w:val="auto"/>
                <w:sz w:val="24"/>
                <w:highlight w:val="none"/>
              </w:rPr>
            </w:pPr>
            <w:r>
              <w:rPr>
                <w:rFonts w:hint="eastAsia" w:ascii="仿宋" w:hAnsi="仿宋" w:eastAsia="仿宋" w:cs="楷体"/>
                <w:color w:val="auto"/>
                <w:sz w:val="24"/>
                <w:highlight w:val="none"/>
                <w:lang w:val="en-US" w:eastAsia="zh-CN"/>
              </w:rPr>
              <w:t>（2）工程勘察行业综合甲级资质或工程勘察专业类（岩土工程）甲级资质。</w:t>
            </w:r>
          </w:p>
          <w:p>
            <w:pPr>
              <w:numPr>
                <w:ilvl w:val="-1"/>
                <w:numId w:val="0"/>
              </w:numPr>
              <w:ind w:left="0" w:leftChars="0" w:firstLine="0" w:firstLineChars="0"/>
              <w:rPr>
                <w:rFonts w:hint="eastAsia" w:ascii="仿宋" w:hAnsi="仿宋" w:eastAsia="仿宋" w:cs="楷体"/>
                <w:color w:val="auto"/>
                <w:sz w:val="24"/>
                <w:highlight w:val="none"/>
              </w:rPr>
            </w:pPr>
            <w:r>
              <w:rPr>
                <w:rFonts w:hint="eastAsia" w:ascii="仿宋" w:hAnsi="仿宋" w:eastAsia="仿宋" w:cs="楷体"/>
                <w:color w:val="auto"/>
                <w:sz w:val="24"/>
                <w:highlight w:val="none"/>
                <w:lang w:val="en-US" w:eastAsia="zh-CN"/>
              </w:rPr>
              <w:t>3.项目负责人要求：</w:t>
            </w:r>
            <w:r>
              <w:rPr>
                <w:rFonts w:hint="eastAsia" w:ascii="仿宋" w:hAnsi="仿宋" w:eastAsia="仿宋" w:cs="楷体"/>
                <w:color w:val="auto"/>
                <w:sz w:val="24"/>
                <w:highlight w:val="none"/>
              </w:rPr>
              <w:t>需具有高级工程师或以上职称，且至少8年以上轨道交通工程设计、咨询经验，同时项目负责人具有不少于2项已完成的城市轨道交通项目同类业绩。</w:t>
            </w:r>
          </w:p>
          <w:p>
            <w:pPr>
              <w:pStyle w:val="2"/>
              <w:ind w:left="0" w:leftChars="0" w:firstLine="0" w:firstLineChars="0"/>
              <w:rPr>
                <w:rFonts w:hint="default" w:eastAsia="仿宋"/>
                <w:highlight w:val="none"/>
                <w:lang w:val="en-US" w:eastAsia="zh-CN"/>
              </w:rPr>
            </w:pPr>
            <w:r>
              <w:rPr>
                <w:rFonts w:hint="eastAsia" w:ascii="仿宋" w:hAnsi="仿宋" w:eastAsia="仿宋" w:cs="楷体"/>
                <w:color w:val="auto"/>
                <w:sz w:val="24"/>
                <w:highlight w:val="none"/>
                <w:lang w:val="en-US" w:eastAsia="zh-CN"/>
              </w:rPr>
              <w:t>4.投标单位在</w:t>
            </w:r>
            <w:bookmarkStart w:id="3" w:name="OLE_LINK2"/>
            <w:r>
              <w:rPr>
                <w:rFonts w:hint="eastAsia" w:ascii="仿宋" w:hAnsi="仿宋" w:eastAsia="仿宋" w:cs="楷体"/>
                <w:color w:val="auto"/>
                <w:sz w:val="24"/>
                <w:highlight w:val="none"/>
                <w:lang w:val="en-US" w:eastAsia="zh-CN"/>
              </w:rPr>
              <w:t>佛山市</w:t>
            </w:r>
            <w:bookmarkStart w:id="4" w:name="OLE_LINK3"/>
            <w:r>
              <w:rPr>
                <w:rFonts w:hint="eastAsia" w:ascii="仿宋" w:hAnsi="仿宋" w:eastAsia="仿宋" w:cs="楷体"/>
                <w:color w:val="auto"/>
                <w:sz w:val="24"/>
                <w:highlight w:val="none"/>
                <w:lang w:val="en-US" w:eastAsia="zh-CN"/>
              </w:rPr>
              <w:t>城市轨道交通建设行业</w:t>
            </w:r>
            <w:bookmarkEnd w:id="4"/>
            <w:r>
              <w:rPr>
                <w:rFonts w:hint="eastAsia" w:ascii="仿宋" w:hAnsi="仿宋" w:eastAsia="仿宋" w:cs="楷体"/>
                <w:color w:val="auto"/>
                <w:sz w:val="24"/>
                <w:highlight w:val="none"/>
                <w:lang w:val="en-US" w:eastAsia="zh-CN"/>
              </w:rPr>
              <w:t>诚信管理系统</w:t>
            </w:r>
            <w:bookmarkEnd w:id="3"/>
            <w:r>
              <w:rPr>
                <w:rFonts w:hint="eastAsia" w:ascii="仿宋" w:hAnsi="仿宋" w:eastAsia="仿宋" w:cs="楷体"/>
                <w:color w:val="auto"/>
                <w:sz w:val="24"/>
                <w:highlight w:val="none"/>
                <w:lang w:val="en-US" w:eastAsia="zh-CN"/>
              </w:rPr>
              <w:t>备案登记。</w:t>
            </w:r>
          </w:p>
          <w:p>
            <w:pPr>
              <w:rPr>
                <w:rFonts w:hint="default"/>
                <w:color w:val="auto"/>
                <w:highlight w:val="none"/>
                <w:lang w:val="en-US" w:eastAsia="zh-CN"/>
              </w:rPr>
            </w:pPr>
            <w:r>
              <w:rPr>
                <w:rFonts w:hint="eastAsia" w:ascii="仿宋" w:hAnsi="仿宋" w:eastAsia="仿宋" w:cs="楷体"/>
                <w:color w:val="auto"/>
                <w:sz w:val="24"/>
                <w:highlight w:val="none"/>
                <w:lang w:val="en-US" w:eastAsia="zh-CN"/>
              </w:rPr>
              <w:t>5.其他要求：按要求提供承诺函。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highlight w:val="none"/>
                <w:lang w:eastAsia="zh-CN"/>
              </w:rPr>
            </w:pPr>
            <w:r>
              <w:rPr>
                <w:rFonts w:hint="eastAsia" w:ascii="仿宋" w:hAnsi="仿宋" w:eastAsia="仿宋" w:cs="楷体"/>
                <w:color w:val="auto"/>
                <w:sz w:val="24"/>
                <w:szCs w:val="24"/>
                <w:highlight w:val="none"/>
                <w:lang w:val="en-US" w:eastAsia="zh-CN"/>
              </w:rPr>
              <w:t>4</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服务内容和服务要求</w:t>
            </w:r>
          </w:p>
        </w:tc>
        <w:tc>
          <w:tcPr>
            <w:tcW w:w="6259" w:type="dxa"/>
            <w:vAlign w:val="center"/>
          </w:tcPr>
          <w:p>
            <w:pPr>
              <w:numPr>
                <w:ilvl w:val="0"/>
                <w:numId w:val="1"/>
              </w:numPr>
              <w:rPr>
                <w:rFonts w:hint="eastAsia" w:ascii="仿宋" w:hAnsi="仿宋" w:eastAsia="仿宋" w:cs="楷体"/>
                <w:color w:val="auto"/>
                <w:sz w:val="24"/>
                <w:szCs w:val="24"/>
                <w:highlight w:val="none"/>
              </w:rPr>
            </w:pPr>
            <w:r>
              <w:rPr>
                <w:rFonts w:hint="eastAsia" w:ascii="仿宋" w:hAnsi="仿宋" w:eastAsia="仿宋" w:cs="楷体"/>
                <w:color w:val="auto"/>
                <w:sz w:val="24"/>
                <w:highlight w:val="none"/>
              </w:rPr>
              <w:t>汾江路是骨架主干路网九纵线的重要组成部分，是禅城区南北向重要的交通干线。本项目的建设是打破河道、铁路对路网割裂局面，提高道路通行能力的需要，解决现状道路拥堵，缓解片区交通出行困难的需要。本项目的是适应佛山新站片区集疏体系规划和道路服务片区远期规划交通出行的需要。项目区域现状用地以工业用地、批发市场用地、村建设用地等用地类型占比较多，用地情况较为复杂。结合区域控规、高铁建设，打通铁路两侧，将有助于实现区域功能提升、空间重组，成为与佛山城市能级相匹配的高铁枢纽新城。涉铁节点的建设是改善城市面貌和强化城市管理，加快建设现代化大城市的迫切需要;是城市更新、提升综合竞争力、加快禅城产业结构升级改造的重要举措。</w:t>
            </w:r>
          </w:p>
          <w:p>
            <w:pPr>
              <w:numPr>
                <w:ilvl w:val="0"/>
                <w:numId w:val="1"/>
              </w:numPr>
              <w:rPr>
                <w:rFonts w:hint="eastAsia" w:ascii="仿宋" w:hAnsi="仿宋" w:eastAsia="仿宋" w:cs="楷体"/>
                <w:color w:val="auto"/>
                <w:sz w:val="24"/>
                <w:highlight w:val="none"/>
              </w:rPr>
            </w:pPr>
            <w:r>
              <w:rPr>
                <w:rFonts w:hint="eastAsia" w:ascii="仿宋" w:hAnsi="仿宋" w:eastAsia="仿宋" w:cs="楷体"/>
                <w:color w:val="auto"/>
                <w:sz w:val="24"/>
                <w:highlight w:val="none"/>
              </w:rPr>
              <w:t>服务要求：完成</w:t>
            </w:r>
            <w:r>
              <w:rPr>
                <w:rFonts w:hint="eastAsia" w:ascii="仿宋" w:hAnsi="仿宋" w:eastAsia="仿宋" w:cs="楷体"/>
                <w:color w:val="auto"/>
                <w:sz w:val="24"/>
                <w:szCs w:val="24"/>
                <w:highlight w:val="none"/>
                <w:lang w:val="en-US" w:eastAsia="zh-CN"/>
              </w:rPr>
              <w:t>项目涉地铁安全评估服务</w:t>
            </w:r>
            <w:r>
              <w:rPr>
                <w:rFonts w:hint="eastAsia" w:ascii="仿宋" w:hAnsi="仿宋" w:eastAsia="仿宋" w:cs="楷体"/>
                <w:color w:val="auto"/>
                <w:sz w:val="24"/>
                <w:highlight w:val="none"/>
              </w:rPr>
              <w:t>工作。</w:t>
            </w:r>
          </w:p>
          <w:p>
            <w:pPr>
              <w:numPr>
                <w:ilvl w:val="0"/>
                <w:numId w:val="1"/>
              </w:numPr>
              <w:rPr>
                <w:rFonts w:hint="eastAsia" w:ascii="仿宋" w:hAnsi="仿宋" w:eastAsia="仿宋" w:cs="楷体"/>
                <w:color w:val="auto"/>
                <w:sz w:val="24"/>
                <w:highlight w:val="none"/>
              </w:rPr>
            </w:pPr>
            <w:r>
              <w:rPr>
                <w:rFonts w:hint="eastAsia" w:ascii="仿宋" w:hAnsi="仿宋" w:eastAsia="仿宋" w:cs="楷体"/>
                <w:color w:val="auto"/>
                <w:sz w:val="24"/>
                <w:highlight w:val="none"/>
              </w:rPr>
              <w:t>后续(售后)服务要求：按要求开展</w:t>
            </w:r>
            <w:r>
              <w:rPr>
                <w:rFonts w:hint="eastAsia" w:ascii="仿宋" w:hAnsi="仿宋" w:eastAsia="仿宋" w:cs="楷体"/>
                <w:color w:val="auto"/>
                <w:sz w:val="24"/>
                <w:highlight w:val="none"/>
                <w:lang w:val="en-US" w:eastAsia="zh-CN"/>
              </w:rPr>
              <w:t>工作</w:t>
            </w:r>
            <w:r>
              <w:rPr>
                <w:rFonts w:hint="eastAsia" w:ascii="仿宋" w:hAnsi="仿宋" w:eastAsia="仿宋" w:cs="楷体"/>
                <w:color w:val="auto"/>
                <w:sz w:val="24"/>
                <w:highlight w:val="none"/>
              </w:rPr>
              <w:t>，参与相关会议</w:t>
            </w:r>
            <w:r>
              <w:rPr>
                <w:rFonts w:hint="eastAsia" w:ascii="仿宋" w:hAnsi="仿宋" w:eastAsia="仿宋" w:cs="楷体"/>
                <w:color w:val="auto"/>
                <w:sz w:val="24"/>
                <w:highlight w:val="none"/>
                <w:lang w:eastAsia="zh-CN"/>
              </w:rPr>
              <w:t>、</w:t>
            </w:r>
            <w:r>
              <w:rPr>
                <w:rFonts w:hint="eastAsia" w:ascii="仿宋" w:hAnsi="仿宋" w:eastAsia="仿宋" w:cs="楷体"/>
                <w:color w:val="auto"/>
                <w:sz w:val="24"/>
                <w:highlight w:val="none"/>
                <w:lang w:val="en-US" w:eastAsia="zh-CN"/>
              </w:rPr>
              <w:t>直至该项目方案收到地保办复函</w:t>
            </w:r>
            <w:r>
              <w:rPr>
                <w:rFonts w:hint="eastAsia" w:ascii="仿宋" w:hAnsi="仿宋" w:eastAsia="仿宋" w:cs="楷体"/>
                <w:color w:val="auto"/>
                <w:sz w:val="24"/>
                <w:highlight w:val="none"/>
              </w:rPr>
              <w:t>等。</w:t>
            </w:r>
          </w:p>
          <w:p>
            <w:pPr>
              <w:numPr>
                <w:ilvl w:val="0"/>
                <w:numId w:val="1"/>
              </w:numPr>
              <w:rPr>
                <w:rFonts w:hint="eastAsia" w:ascii="仿宋" w:hAnsi="仿宋" w:eastAsia="仿宋" w:cs="楷体"/>
                <w:color w:val="auto"/>
                <w:sz w:val="24"/>
                <w:highlight w:val="none"/>
              </w:rPr>
            </w:pPr>
            <w:r>
              <w:rPr>
                <w:rFonts w:hint="eastAsia" w:ascii="仿宋" w:hAnsi="仿宋" w:eastAsia="仿宋" w:cs="楷体"/>
                <w:color w:val="auto"/>
                <w:sz w:val="24"/>
                <w:highlight w:val="none"/>
              </w:rPr>
              <w:t>本项目路线为南北走向，起于现状汾江路与佛罗路中山路平交口，起点桩号 K0+512.582，路线跨越广湛高铁，终于文昌路，终点桩号 K1+095，长 0.582 公里，双向八车道。采用一级公路标准兼顾城市道路功能，设计速度采用 40km/h（远期 60km/h）。</w:t>
            </w:r>
          </w:p>
          <w:p>
            <w:pPr>
              <w:numPr>
                <w:ilvl w:val="0"/>
                <w:numId w:val="1"/>
              </w:numPr>
              <w:rPr>
                <w:rFonts w:hint="eastAsia" w:ascii="仿宋" w:hAnsi="仿宋" w:eastAsia="仿宋" w:cs="楷体"/>
                <w:color w:val="auto"/>
                <w:sz w:val="24"/>
                <w:highlight w:val="none"/>
              </w:rPr>
            </w:pPr>
            <w:r>
              <w:rPr>
                <w:rFonts w:hint="eastAsia" w:ascii="仿宋" w:hAnsi="仿宋" w:eastAsia="仿宋" w:cs="楷体"/>
                <w:color w:val="auto"/>
                <w:sz w:val="24"/>
                <w:highlight w:val="none"/>
              </w:rPr>
              <w:t xml:space="preserve">建设内容包括道路工程、交通工程、排水（雨、污）工程、结构工程、照明工程及绿化工程、绿化给水工程。本项目建安费 </w:t>
            </w:r>
            <w:r>
              <w:rPr>
                <w:rFonts w:hint="eastAsia" w:ascii="仿宋" w:hAnsi="仿宋" w:eastAsia="仿宋" w:cs="楷体"/>
                <w:color w:val="auto"/>
                <w:sz w:val="24"/>
                <w:highlight w:val="none"/>
                <w:lang w:eastAsia="zh-CN"/>
              </w:rPr>
              <w:t>3</w:t>
            </w:r>
            <w:r>
              <w:rPr>
                <w:rFonts w:hint="eastAsia" w:ascii="仿宋" w:hAnsi="仿宋" w:eastAsia="仿宋" w:cs="楷体"/>
                <w:color w:val="auto"/>
                <w:sz w:val="24"/>
                <w:highlight w:val="none"/>
                <w:lang w:val="en-US" w:eastAsia="zh-CN"/>
              </w:rPr>
              <w:t>800</w:t>
            </w:r>
            <w:r>
              <w:rPr>
                <w:rFonts w:hint="eastAsia" w:ascii="仿宋" w:hAnsi="仿宋" w:eastAsia="仿宋" w:cs="楷体"/>
                <w:color w:val="auto"/>
                <w:sz w:val="24"/>
                <w:highlight w:val="none"/>
              </w:rPr>
              <w:t>万元。</w:t>
            </w:r>
          </w:p>
          <w:p>
            <w:pPr>
              <w:numPr>
                <w:ilvl w:val="-1"/>
                <w:numId w:val="0"/>
              </w:numPr>
              <w:rPr>
                <w:rFonts w:hint="default"/>
                <w:color w:val="auto"/>
                <w:highlight w:val="none"/>
                <w:lang w:val="en-US" w:eastAsia="zh-CN"/>
              </w:rPr>
            </w:pPr>
            <w:r>
              <w:rPr>
                <w:rFonts w:hint="eastAsia" w:ascii="仿宋" w:hAnsi="仿宋" w:eastAsia="仿宋" w:cs="楷体"/>
                <w:color w:val="auto"/>
                <w:sz w:val="24"/>
                <w:highlight w:val="none"/>
                <w:lang w:val="en-US" w:eastAsia="zh-CN"/>
              </w:rPr>
              <w:t>6.</w:t>
            </w:r>
            <w:r>
              <w:rPr>
                <w:rFonts w:hint="eastAsia" w:ascii="仿宋" w:hAnsi="仿宋" w:eastAsia="仿宋" w:cs="楷体"/>
                <w:color w:val="auto"/>
                <w:sz w:val="24"/>
                <w:highlight w:val="none"/>
              </w:rPr>
              <w:t>招标控制价（最高投标限价）：</w:t>
            </w:r>
            <w:r>
              <w:rPr>
                <w:rFonts w:hint="eastAsia" w:ascii="仿宋" w:hAnsi="仿宋" w:eastAsia="仿宋" w:cs="楷体"/>
                <w:b w:val="0"/>
                <w:bCs w:val="0"/>
                <w:i w:val="0"/>
                <w:iCs w:val="0"/>
                <w:smallCaps w:val="0"/>
                <w:color w:val="000000"/>
                <w:sz w:val="24"/>
                <w:highlight w:val="none"/>
                <w:lang w:val="en-US" w:eastAsia="zh-CN"/>
              </w:rPr>
              <w:t>1</w:t>
            </w:r>
            <w:bookmarkStart w:id="6" w:name="_GoBack"/>
            <w:r>
              <w:rPr>
                <w:rFonts w:hint="eastAsia" w:ascii="仿宋" w:hAnsi="仿宋" w:eastAsia="仿宋" w:cs="楷体"/>
                <w:b w:val="0"/>
                <w:bCs w:val="0"/>
                <w:i w:val="0"/>
                <w:iCs w:val="0"/>
                <w:smallCaps w:val="0"/>
                <w:color w:val="auto"/>
                <w:sz w:val="24"/>
                <w:highlight w:val="none"/>
                <w:lang w:val="en-US" w:eastAsia="zh-CN"/>
              </w:rPr>
              <w:t>071</w:t>
            </w:r>
            <w:r>
              <w:rPr>
                <w:rFonts w:hint="eastAsia" w:ascii="仿宋" w:hAnsi="仿宋" w:eastAsia="仿宋" w:cs="楷体"/>
                <w:color w:val="auto"/>
                <w:sz w:val="24"/>
                <w:highlight w:val="none"/>
                <w:lang w:val="en-US" w:eastAsia="zh-CN"/>
              </w:rPr>
              <w:t>00.00元</w:t>
            </w:r>
            <w:bookmarkEnd w:id="6"/>
            <w:r>
              <w:rPr>
                <w:rFonts w:hint="eastAsia" w:ascii="仿宋" w:hAnsi="仿宋" w:eastAsia="仿宋" w:cs="楷体"/>
                <w:color w:val="auto"/>
                <w:sz w:val="24"/>
                <w:highlight w:val="none"/>
              </w:rPr>
              <w:t>，中介单位的报价不能超过招标控制价（最高投标限价），否则其投标无效。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highlight w:val="none"/>
                <w:lang w:eastAsia="zh-CN"/>
              </w:rPr>
            </w:pPr>
            <w:r>
              <w:rPr>
                <w:rFonts w:hint="eastAsia" w:ascii="仿宋" w:hAnsi="仿宋" w:eastAsia="仿宋" w:cs="楷体"/>
                <w:color w:val="auto"/>
                <w:sz w:val="24"/>
                <w:szCs w:val="24"/>
                <w:highlight w:val="none"/>
                <w:lang w:val="en-US" w:eastAsia="zh-CN"/>
              </w:rPr>
              <w:t>5</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合同履行地点和方式</w:t>
            </w:r>
          </w:p>
        </w:tc>
        <w:tc>
          <w:tcPr>
            <w:tcW w:w="6259"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1.提供服务的时间、地点、方式</w:t>
            </w:r>
            <w:r>
              <w:rPr>
                <w:rFonts w:hint="eastAsia" w:ascii="仿宋" w:hAnsi="仿宋" w:eastAsia="仿宋" w:cs="楷体"/>
                <w:color w:val="auto"/>
                <w:sz w:val="24"/>
                <w:szCs w:val="24"/>
                <w:highlight w:val="none"/>
                <w:lang w:eastAsia="zh-CN"/>
              </w:rPr>
              <w:t>：</w:t>
            </w:r>
            <w:r>
              <w:rPr>
                <w:rFonts w:hint="eastAsia" w:ascii="仿宋" w:hAnsi="仿宋" w:eastAsia="仿宋" w:cs="楷体"/>
                <w:color w:val="auto"/>
                <w:sz w:val="24"/>
                <w:highlight w:val="none"/>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highlight w:val="none"/>
                <w:lang w:eastAsia="zh-CN"/>
              </w:rPr>
            </w:pPr>
            <w:r>
              <w:rPr>
                <w:rFonts w:hint="eastAsia" w:ascii="仿宋" w:hAnsi="仿宋" w:eastAsia="仿宋" w:cs="楷体"/>
                <w:color w:val="auto"/>
                <w:sz w:val="24"/>
                <w:szCs w:val="24"/>
                <w:highlight w:val="none"/>
                <w:lang w:val="en-US" w:eastAsia="zh-CN"/>
              </w:rPr>
              <w:t>6</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公开选取方式</w:t>
            </w:r>
          </w:p>
        </w:tc>
        <w:tc>
          <w:tcPr>
            <w:tcW w:w="6259"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公开选取方式：</w:t>
            </w:r>
            <w:r>
              <w:rPr>
                <w:rFonts w:hint="eastAsia" w:ascii="仿宋" w:hAnsi="仿宋" w:eastAsia="仿宋" w:cs="楷体"/>
                <w:color w:val="auto"/>
                <w:sz w:val="24"/>
                <w:szCs w:val="24"/>
                <w:highlight w:val="none"/>
                <w:lang w:val="en-US" w:eastAsia="zh-CN"/>
              </w:rPr>
              <w:t>通过资格要求的投标单位中选取综合得分最高投标单位前3名作为中选候选人，由采购人向中标候选人进行询价，最低价为中标单位</w:t>
            </w:r>
            <w:r>
              <w:rPr>
                <w:rFonts w:hint="eastAsia" w:ascii="仿宋" w:hAnsi="仿宋" w:eastAsia="仿宋" w:cs="楷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7</w:t>
            </w:r>
          </w:p>
        </w:tc>
        <w:tc>
          <w:tcPr>
            <w:tcW w:w="2097" w:type="dxa"/>
            <w:vAlign w:val="center"/>
          </w:tcPr>
          <w:p>
            <w:pPr>
              <w:rPr>
                <w:rFonts w:hint="eastAsia" w:ascii="仿宋" w:hAnsi="仿宋" w:eastAsia="仿宋" w:cs="楷体"/>
                <w:color w:val="auto"/>
                <w:sz w:val="24"/>
                <w:szCs w:val="24"/>
                <w:highlight w:val="none"/>
              </w:rPr>
            </w:pPr>
            <w:r>
              <w:rPr>
                <w:rFonts w:hint="eastAsia" w:ascii="仿宋" w:hAnsi="仿宋" w:eastAsia="仿宋" w:cs="楷体"/>
                <w:color w:val="auto"/>
                <w:sz w:val="24"/>
                <w:szCs w:val="24"/>
                <w:highlight w:val="none"/>
              </w:rPr>
              <w:t>分值构成</w:t>
            </w:r>
          </w:p>
        </w:tc>
        <w:tc>
          <w:tcPr>
            <w:tcW w:w="6259" w:type="dxa"/>
            <w:vAlign w:val="center"/>
          </w:tcPr>
          <w:p>
            <w:pPr>
              <w:rPr>
                <w:rFonts w:hint="eastAsia" w:ascii="仿宋" w:hAnsi="仿宋" w:eastAsia="仿宋" w:cs="楷体"/>
                <w:color w:val="auto"/>
                <w:sz w:val="24"/>
                <w:szCs w:val="24"/>
                <w:highlight w:val="none"/>
              </w:rPr>
            </w:pPr>
            <w:r>
              <w:rPr>
                <w:rFonts w:hint="eastAsia" w:ascii="仿宋" w:hAnsi="仿宋" w:eastAsia="仿宋" w:cs="楷体"/>
                <w:color w:val="auto"/>
                <w:sz w:val="24"/>
                <w:szCs w:val="24"/>
                <w:highlight w:val="none"/>
              </w:rPr>
              <w:t>总分：10分。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864" w:type="dxa"/>
            <w:vMerge w:val="restart"/>
            <w:vAlign w:val="center"/>
          </w:tcPr>
          <w:p>
            <w:pPr>
              <w:jc w:val="cente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8</w:t>
            </w:r>
          </w:p>
        </w:tc>
        <w:tc>
          <w:tcPr>
            <w:tcW w:w="2097" w:type="dxa"/>
            <w:vAlign w:val="center"/>
          </w:tcPr>
          <w:p>
            <w:pPr>
              <w:rPr>
                <w:rFonts w:hint="default"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对本项目的服务响应情况（3分）</w:t>
            </w:r>
          </w:p>
        </w:tc>
        <w:tc>
          <w:tcPr>
            <w:tcW w:w="6259" w:type="dxa"/>
            <w:vAlign w:val="center"/>
          </w:tcPr>
          <w:p>
            <w:pPr>
              <w:numPr>
                <w:ilvl w:val="-1"/>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对本项目服务响应情况描述，包括但不限于收到通知到达采购人公司的时间或到达项目现场的时间，按最优条件打分：</w:t>
            </w:r>
          </w:p>
          <w:p>
            <w:pPr>
              <w:numPr>
                <w:ilvl w:val="-1"/>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（1）响应时间为1小时内的，得3分；</w:t>
            </w:r>
          </w:p>
          <w:p>
            <w:pPr>
              <w:numPr>
                <w:ilvl w:val="-1"/>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（2）响应时间为1小时至4小时的，得2分；</w:t>
            </w:r>
          </w:p>
          <w:p>
            <w:pPr>
              <w:numPr>
                <w:ilvl w:val="-1"/>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（3）响应时间为超过4个小时的，得1分。</w:t>
            </w:r>
          </w:p>
          <w:p>
            <w:pPr>
              <w:numPr>
                <w:ilvl w:val="-1"/>
                <w:numId w:val="0"/>
              </w:numPr>
              <w:rPr>
                <w:rFonts w:hint="default"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注：对本项无任何描述的，则得0分。投标单位根据自身实际情况进行阐述，可提供包括但不限于办公地址、导航路线等证明材料，最终由评审小组进行判定。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4" w:type="dxa"/>
            <w:vMerge w:val="continue"/>
            <w:vAlign w:val="center"/>
          </w:tcPr>
          <w:p>
            <w:pPr>
              <w:jc w:val="center"/>
              <w:rPr>
                <w:rFonts w:hint="eastAsia" w:ascii="仿宋" w:hAnsi="仿宋" w:eastAsia="仿宋" w:cs="楷体"/>
                <w:color w:val="auto"/>
                <w:sz w:val="24"/>
                <w:szCs w:val="24"/>
                <w:highlight w:val="none"/>
                <w:lang w:val="en-US" w:eastAsia="zh-CN"/>
              </w:rPr>
            </w:pPr>
          </w:p>
        </w:tc>
        <w:tc>
          <w:tcPr>
            <w:tcW w:w="2097" w:type="dxa"/>
            <w:vAlign w:val="center"/>
          </w:tcPr>
          <w:p>
            <w:pPr>
              <w:rPr>
                <w:rFonts w:hint="default"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类似业绩实施情况（3分）</w:t>
            </w:r>
          </w:p>
        </w:tc>
        <w:tc>
          <w:tcPr>
            <w:tcW w:w="6259" w:type="dxa"/>
            <w:vAlign w:val="center"/>
          </w:tcPr>
          <w:p>
            <w:pPr>
              <w:numPr>
                <w:ilvl w:val="0"/>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类似项目实施情况描述，需提供近三年内（公告发布之日往前顺推）所承担过类似项目的情况，需体现合同所属地、关键内容、签署页等，按最优条件打分：</w:t>
            </w:r>
          </w:p>
          <w:p>
            <w:pPr>
              <w:numPr>
                <w:ilvl w:val="0"/>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（1）类似项目与本项目实施条件契合度最高，得3分；</w:t>
            </w:r>
          </w:p>
          <w:p>
            <w:pPr>
              <w:numPr>
                <w:ilvl w:val="0"/>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（2）类似项目与本项目实施条件契合度较高，得2分；</w:t>
            </w:r>
          </w:p>
          <w:p>
            <w:pPr>
              <w:numPr>
                <w:ilvl w:val="0"/>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（3）类似项目与本项目实施条件契合度最低，得1分。</w:t>
            </w:r>
          </w:p>
          <w:p>
            <w:pPr>
              <w:numPr>
                <w:ilvl w:val="0"/>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注：类似项目指：</w:t>
            </w:r>
            <w:r>
              <w:rPr>
                <w:rFonts w:hint="eastAsia" w:ascii="仿宋" w:hAnsi="仿宋" w:eastAsia="仿宋" w:cs="楷体"/>
                <w:color w:val="auto"/>
                <w:sz w:val="24"/>
                <w:highlight w:val="none"/>
              </w:rPr>
              <w:t>中介单位在近三年内（自本工程采购公告发出之日起往前顺推，以合同签订的时间为准），承接过至少1项</w:t>
            </w:r>
            <w:r>
              <w:rPr>
                <w:rFonts w:hint="eastAsia" w:ascii="仿宋" w:hAnsi="仿宋" w:eastAsia="仿宋" w:cs="楷体"/>
                <w:color w:val="auto"/>
                <w:sz w:val="24"/>
                <w:highlight w:val="none"/>
                <w:lang w:val="en-US" w:eastAsia="zh-CN"/>
              </w:rPr>
              <w:t>地铁或轨道交通安全评估业绩</w:t>
            </w:r>
            <w:r>
              <w:rPr>
                <w:rFonts w:hint="eastAsia" w:ascii="仿宋" w:hAnsi="仿宋" w:eastAsia="仿宋" w:cs="楷体"/>
                <w:color w:val="auto"/>
                <w:sz w:val="24"/>
                <w:szCs w:val="24"/>
                <w:highlight w:val="none"/>
                <w:lang w:val="en-US" w:eastAsia="zh-CN"/>
              </w:rPr>
              <w:t>；对本项无任何描述的，则得0分。投标单位根据自身实际情况进行阐述，最终由评审小组进行判定。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864" w:type="dxa"/>
            <w:vMerge w:val="continue"/>
            <w:vAlign w:val="center"/>
          </w:tcPr>
          <w:p>
            <w:pPr>
              <w:jc w:val="center"/>
              <w:rPr>
                <w:rFonts w:hint="eastAsia" w:ascii="仿宋" w:hAnsi="仿宋" w:eastAsia="仿宋" w:cs="楷体"/>
                <w:color w:val="auto"/>
                <w:sz w:val="24"/>
                <w:szCs w:val="24"/>
                <w:highlight w:val="none"/>
                <w:lang w:val="en-US" w:eastAsia="zh-CN"/>
              </w:rPr>
            </w:pPr>
          </w:p>
        </w:tc>
        <w:tc>
          <w:tcPr>
            <w:tcW w:w="2097" w:type="dxa"/>
            <w:vAlign w:val="center"/>
          </w:tcPr>
          <w:p>
            <w:pPr>
              <w:rPr>
                <w:rFonts w:hint="default"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本项目实施的优势（4分）</w:t>
            </w:r>
          </w:p>
        </w:tc>
        <w:tc>
          <w:tcPr>
            <w:tcW w:w="6259" w:type="dxa"/>
            <w:vAlign w:val="center"/>
          </w:tcPr>
          <w:p>
            <w:pPr>
              <w:numPr>
                <w:ilvl w:val="0"/>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拟完成本项目所具体的团队配套情况、业务沟通协调能力等。所有投标单位的阐述情况由优到差排序：</w:t>
            </w:r>
          </w:p>
          <w:p>
            <w:pPr>
              <w:numPr>
                <w:ilvl w:val="0"/>
                <w:numId w:val="2"/>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阐述情况为优的，得4分；</w:t>
            </w:r>
          </w:p>
          <w:p>
            <w:pPr>
              <w:numPr>
                <w:ilvl w:val="0"/>
                <w:numId w:val="2"/>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阐述情况为中的，得2分；</w:t>
            </w:r>
          </w:p>
          <w:p>
            <w:pPr>
              <w:numPr>
                <w:ilvl w:val="0"/>
                <w:numId w:val="2"/>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阐述情况为差的，得1分。</w:t>
            </w:r>
          </w:p>
          <w:p>
            <w:pPr>
              <w:numPr>
                <w:ilvl w:val="0"/>
                <w:numId w:val="0"/>
              </w:num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注：对本项无任何描述的，则得0分。投标单位根据自身实际情况进行阐述，最终由评审小组进行判定。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color w:val="auto"/>
                <w:kern w:val="2"/>
                <w:sz w:val="24"/>
                <w:szCs w:val="24"/>
                <w:highlight w:val="none"/>
                <w:lang w:val="en-US" w:eastAsia="zh-CN" w:bidi="ar-SA"/>
              </w:rPr>
            </w:pPr>
            <w:r>
              <w:rPr>
                <w:rFonts w:hint="eastAsia" w:ascii="仿宋" w:hAnsi="仿宋" w:eastAsia="仿宋" w:cs="楷体"/>
                <w:color w:val="auto"/>
                <w:sz w:val="24"/>
                <w:szCs w:val="24"/>
                <w:highlight w:val="none"/>
                <w:lang w:val="en-US" w:eastAsia="zh-CN"/>
              </w:rPr>
              <w:t>11</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服务时间</w:t>
            </w:r>
          </w:p>
        </w:tc>
        <w:tc>
          <w:tcPr>
            <w:tcW w:w="6259" w:type="dxa"/>
            <w:vAlign w:val="center"/>
          </w:tcPr>
          <w:p>
            <w:pPr>
              <w:rPr>
                <w:rFonts w:hint="default"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color w:val="auto"/>
                <w:kern w:val="2"/>
                <w:sz w:val="24"/>
                <w:szCs w:val="24"/>
                <w:highlight w:val="none"/>
                <w:lang w:val="en-US" w:eastAsia="zh-CN" w:bidi="ar-SA"/>
              </w:rPr>
            </w:pPr>
            <w:r>
              <w:rPr>
                <w:rFonts w:hint="eastAsia" w:ascii="仿宋" w:hAnsi="仿宋" w:eastAsia="仿宋" w:cs="楷体"/>
                <w:color w:val="auto"/>
                <w:sz w:val="24"/>
                <w:szCs w:val="24"/>
                <w:highlight w:val="none"/>
              </w:rPr>
              <w:t>1</w:t>
            </w:r>
            <w:r>
              <w:rPr>
                <w:rFonts w:hint="eastAsia" w:ascii="仿宋" w:hAnsi="仿宋" w:eastAsia="仿宋" w:cs="楷体"/>
                <w:color w:val="auto"/>
                <w:sz w:val="24"/>
                <w:szCs w:val="24"/>
                <w:highlight w:val="none"/>
                <w:lang w:val="en-US" w:eastAsia="zh-CN"/>
              </w:rPr>
              <w:t>2</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验收</w:t>
            </w:r>
          </w:p>
        </w:tc>
        <w:tc>
          <w:tcPr>
            <w:tcW w:w="6259" w:type="dxa"/>
            <w:vAlign w:val="center"/>
          </w:tcPr>
          <w:p>
            <w:pPr>
              <w:tabs>
                <w:tab w:val="left" w:pos="312"/>
              </w:tabs>
              <w:rPr>
                <w:rFonts w:ascii="仿宋" w:hAnsi="仿宋" w:eastAsia="仿宋" w:cs="楷体"/>
                <w:color w:val="auto"/>
                <w:sz w:val="24"/>
                <w:szCs w:val="24"/>
                <w:highlight w:val="none"/>
              </w:rPr>
            </w:pPr>
            <w:r>
              <w:rPr>
                <w:rFonts w:hint="eastAsia" w:ascii="仿宋" w:hAnsi="仿宋" w:eastAsia="仿宋" w:cs="楷体"/>
                <w:color w:val="auto"/>
                <w:sz w:val="24"/>
                <w:szCs w:val="24"/>
                <w:highlight w:val="none"/>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kern w:val="2"/>
                <w:sz w:val="24"/>
                <w:szCs w:val="24"/>
                <w:highlight w:val="none"/>
                <w:lang w:val="en-US" w:eastAsia="zh-CN" w:bidi="ar-SA"/>
              </w:rPr>
            </w:pPr>
            <w:r>
              <w:rPr>
                <w:rFonts w:hint="eastAsia" w:ascii="仿宋" w:hAnsi="仿宋" w:eastAsia="仿宋" w:cs="楷体"/>
                <w:color w:val="auto"/>
                <w:sz w:val="24"/>
                <w:szCs w:val="24"/>
                <w:highlight w:val="none"/>
              </w:rPr>
              <w:t>1</w:t>
            </w:r>
            <w:r>
              <w:rPr>
                <w:rFonts w:hint="eastAsia" w:ascii="仿宋" w:hAnsi="仿宋" w:eastAsia="仿宋" w:cs="楷体"/>
                <w:color w:val="auto"/>
                <w:sz w:val="24"/>
                <w:szCs w:val="24"/>
                <w:highlight w:val="none"/>
                <w:lang w:val="en-US" w:eastAsia="zh-CN"/>
              </w:rPr>
              <w:t>3</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结算方式</w:t>
            </w:r>
          </w:p>
        </w:tc>
        <w:tc>
          <w:tcPr>
            <w:tcW w:w="6259"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kern w:val="2"/>
                <w:sz w:val="24"/>
                <w:szCs w:val="24"/>
                <w:highlight w:val="none"/>
                <w:lang w:val="en-US" w:eastAsia="zh-CN" w:bidi="ar-SA"/>
              </w:rPr>
            </w:pPr>
            <w:r>
              <w:rPr>
                <w:rFonts w:hint="eastAsia" w:ascii="仿宋" w:hAnsi="仿宋" w:eastAsia="仿宋" w:cs="楷体"/>
                <w:color w:val="auto"/>
                <w:sz w:val="24"/>
                <w:szCs w:val="24"/>
                <w:highlight w:val="none"/>
              </w:rPr>
              <w:t>1</w:t>
            </w:r>
            <w:r>
              <w:rPr>
                <w:rFonts w:hint="eastAsia" w:ascii="仿宋" w:hAnsi="仿宋" w:eastAsia="仿宋" w:cs="楷体"/>
                <w:color w:val="auto"/>
                <w:sz w:val="24"/>
                <w:szCs w:val="24"/>
                <w:highlight w:val="none"/>
                <w:lang w:val="en-US" w:eastAsia="zh-CN"/>
              </w:rPr>
              <w:t>4</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违约责任</w:t>
            </w:r>
          </w:p>
        </w:tc>
        <w:tc>
          <w:tcPr>
            <w:tcW w:w="6259"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kern w:val="2"/>
                <w:sz w:val="24"/>
                <w:szCs w:val="24"/>
                <w:highlight w:val="none"/>
                <w:lang w:val="en-US" w:eastAsia="zh-CN" w:bidi="ar-SA"/>
              </w:rPr>
            </w:pPr>
            <w:r>
              <w:rPr>
                <w:rFonts w:hint="eastAsia" w:ascii="仿宋" w:hAnsi="仿宋" w:eastAsia="仿宋" w:cs="楷体"/>
                <w:color w:val="auto"/>
                <w:sz w:val="24"/>
                <w:szCs w:val="24"/>
                <w:highlight w:val="none"/>
              </w:rPr>
              <w:t>1</w:t>
            </w:r>
            <w:r>
              <w:rPr>
                <w:rFonts w:hint="eastAsia" w:ascii="仿宋" w:hAnsi="仿宋" w:eastAsia="仿宋" w:cs="楷体"/>
                <w:color w:val="auto"/>
                <w:sz w:val="24"/>
                <w:szCs w:val="24"/>
                <w:highlight w:val="none"/>
                <w:lang w:val="en-US" w:eastAsia="zh-CN"/>
              </w:rPr>
              <w:t>5</w:t>
            </w:r>
          </w:p>
        </w:tc>
        <w:tc>
          <w:tcPr>
            <w:tcW w:w="2097"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补充合同和</w:t>
            </w:r>
          </w:p>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解决争议方式</w:t>
            </w:r>
          </w:p>
        </w:tc>
        <w:tc>
          <w:tcPr>
            <w:tcW w:w="6259" w:type="dxa"/>
            <w:vAlign w:val="center"/>
          </w:tcPr>
          <w:p>
            <w:pPr>
              <w:rPr>
                <w:rFonts w:ascii="仿宋" w:hAnsi="仿宋" w:eastAsia="仿宋" w:cs="楷体"/>
                <w:color w:val="auto"/>
                <w:sz w:val="24"/>
                <w:szCs w:val="24"/>
                <w:highlight w:val="none"/>
              </w:rPr>
            </w:pPr>
            <w:r>
              <w:rPr>
                <w:rFonts w:hint="eastAsia" w:ascii="仿宋" w:hAnsi="仿宋" w:eastAsia="仿宋" w:cs="楷体"/>
                <w:color w:val="auto"/>
                <w:sz w:val="24"/>
                <w:szCs w:val="24"/>
                <w:highlight w:val="none"/>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64" w:type="dxa"/>
            <w:vAlign w:val="center"/>
          </w:tcPr>
          <w:p>
            <w:pPr>
              <w:jc w:val="center"/>
              <w:rPr>
                <w:rFonts w:hint="default"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16</w:t>
            </w:r>
          </w:p>
        </w:tc>
        <w:tc>
          <w:tcPr>
            <w:tcW w:w="2097" w:type="dxa"/>
            <w:vAlign w:val="center"/>
          </w:tcPr>
          <w:p>
            <w:pPr>
              <w:rPr>
                <w:rFonts w:hint="eastAsia" w:ascii="仿宋" w:hAnsi="仿宋" w:eastAsia="仿宋" w:cs="楷体"/>
                <w:color w:val="auto"/>
                <w:sz w:val="24"/>
                <w:szCs w:val="24"/>
                <w:highlight w:val="none"/>
              </w:rPr>
            </w:pPr>
            <w:r>
              <w:rPr>
                <w:rFonts w:hint="eastAsia" w:ascii="仿宋" w:hAnsi="仿宋" w:eastAsia="仿宋" w:cs="楷体"/>
                <w:color w:val="auto"/>
                <w:sz w:val="24"/>
                <w:szCs w:val="24"/>
                <w:highlight w:val="none"/>
              </w:rPr>
              <w:t>算术错误修正</w:t>
            </w:r>
          </w:p>
        </w:tc>
        <w:tc>
          <w:tcPr>
            <w:tcW w:w="6259" w:type="dxa"/>
            <w:vAlign w:val="center"/>
          </w:tcPr>
          <w:p>
            <w:p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投标报价有算术错误的，评审小组按以下原则对投标总报价进行修正。</w:t>
            </w:r>
          </w:p>
          <w:p>
            <w:p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（1）投标文件中的大写金额与小写金额不一致的，以大写金额为准；</w:t>
            </w:r>
          </w:p>
          <w:p>
            <w:p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2）总价金额与依据单价（或费率或折率）计算出的结果不一致的，以单价金额（或费率或折率）为准修正总价，但单价金额（或费率或折率）小数点有明显错误的除外；如果单价金额（或费率或折率）小数点有明显错误，应以总价为准修正单价（或费率或折率）。</w:t>
            </w:r>
          </w:p>
          <w:p>
            <w:pPr>
              <w:rPr>
                <w:rFonts w:hint="eastAsia" w:ascii="仿宋" w:hAnsi="仿宋" w:eastAsia="仿宋" w:cs="楷体"/>
                <w:color w:val="auto"/>
                <w:sz w:val="24"/>
                <w:szCs w:val="24"/>
                <w:highlight w:val="none"/>
                <w:lang w:val="en-US" w:eastAsia="zh-CN"/>
              </w:rPr>
            </w:pPr>
            <w:r>
              <w:rPr>
                <w:rFonts w:hint="eastAsia" w:ascii="仿宋" w:hAnsi="仿宋" w:eastAsia="仿宋" w:cs="楷体"/>
                <w:color w:val="auto"/>
                <w:sz w:val="24"/>
                <w:szCs w:val="24"/>
                <w:highlight w:val="none"/>
                <w:lang w:val="en-US" w:eastAsia="zh-CN"/>
              </w:rPr>
              <w:t>（3）修正后的总报价参与报价得分计算。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color w:val="auto"/>
                <w:sz w:val="24"/>
                <w:szCs w:val="24"/>
                <w:highlight w:val="none"/>
                <w:lang w:eastAsia="zh-CN"/>
              </w:rPr>
            </w:pPr>
            <w:r>
              <w:rPr>
                <w:rFonts w:hint="eastAsia" w:ascii="仿宋" w:hAnsi="仿宋" w:eastAsia="仿宋" w:cs="楷体"/>
                <w:color w:val="auto"/>
                <w:sz w:val="24"/>
                <w:szCs w:val="24"/>
                <w:highlight w:val="none"/>
              </w:rPr>
              <w:t>1</w:t>
            </w:r>
            <w:r>
              <w:rPr>
                <w:rFonts w:hint="eastAsia" w:ascii="仿宋" w:hAnsi="仿宋" w:eastAsia="仿宋" w:cs="楷体"/>
                <w:color w:val="auto"/>
                <w:sz w:val="24"/>
                <w:szCs w:val="24"/>
                <w:highlight w:val="none"/>
                <w:lang w:val="en-US" w:eastAsia="zh-CN"/>
              </w:rPr>
              <w:t>7</w:t>
            </w:r>
          </w:p>
        </w:tc>
        <w:tc>
          <w:tcPr>
            <w:tcW w:w="2097" w:type="dxa"/>
            <w:vAlign w:val="center"/>
          </w:tcPr>
          <w:p>
            <w:pPr>
              <w:jc w:val="left"/>
              <w:rPr>
                <w:rFonts w:ascii="仿宋" w:hAnsi="仿宋" w:eastAsia="仿宋" w:cs="楷体"/>
                <w:color w:val="auto"/>
                <w:sz w:val="24"/>
                <w:szCs w:val="24"/>
                <w:highlight w:val="none"/>
              </w:rPr>
            </w:pPr>
            <w:r>
              <w:rPr>
                <w:rFonts w:hint="eastAsia" w:ascii="仿宋" w:hAnsi="仿宋" w:eastAsia="仿宋" w:cs="楷体"/>
                <w:color w:val="auto"/>
                <w:sz w:val="24"/>
                <w:szCs w:val="24"/>
                <w:highlight w:val="none"/>
              </w:rPr>
              <w:t>备注</w:t>
            </w:r>
          </w:p>
        </w:tc>
        <w:tc>
          <w:tcPr>
            <w:tcW w:w="6259" w:type="dxa"/>
            <w:vAlign w:val="center"/>
          </w:tcPr>
          <w:p>
            <w:pPr>
              <w:rPr>
                <w:rFonts w:hint="default" w:ascii="仿宋" w:hAnsi="仿宋" w:eastAsia="仿宋" w:cs="楷体"/>
                <w:color w:val="auto"/>
                <w:kern w:val="2"/>
                <w:sz w:val="24"/>
                <w:szCs w:val="24"/>
                <w:highlight w:val="none"/>
                <w:lang w:val="en-US" w:eastAsia="zh-CN" w:bidi="ar-SA"/>
              </w:rPr>
            </w:pPr>
            <w:r>
              <w:rPr>
                <w:rFonts w:hint="eastAsia" w:ascii="仿宋" w:hAnsi="仿宋" w:eastAsia="仿宋" w:cs="楷体"/>
                <w:color w:val="auto"/>
                <w:kern w:val="2"/>
                <w:sz w:val="24"/>
                <w:szCs w:val="24"/>
                <w:highlight w:val="none"/>
                <w:lang w:val="en-US" w:eastAsia="zh-CN" w:bidi="ar-SA"/>
              </w:rPr>
              <w:t>1.采购人根据投标单位提供的投标文件，经评审后得分由高到低进行排序，最高得分的前</w:t>
            </w:r>
            <w:r>
              <w:rPr>
                <w:rFonts w:hint="eastAsia" w:ascii="仿宋" w:hAnsi="仿宋" w:eastAsia="仿宋" w:cs="楷体"/>
                <w:color w:val="auto"/>
                <w:sz w:val="24"/>
                <w:szCs w:val="24"/>
                <w:highlight w:val="none"/>
                <w:lang w:val="en-US" w:eastAsia="zh-CN"/>
              </w:rPr>
              <w:t>3名作为中选候选人，</w:t>
            </w:r>
            <w:r>
              <w:rPr>
                <w:rFonts w:hint="eastAsia" w:ascii="仿宋" w:hAnsi="仿宋" w:eastAsia="仿宋" w:cs="楷体"/>
                <w:color w:val="auto"/>
                <w:sz w:val="24"/>
                <w:highlight w:val="none"/>
              </w:rPr>
              <w:t>根据入围的候选人</w:t>
            </w:r>
            <w:r>
              <w:rPr>
                <w:rFonts w:hint="eastAsia" w:ascii="仿宋" w:hAnsi="仿宋" w:eastAsia="仿宋" w:cs="楷体"/>
                <w:color w:val="auto"/>
                <w:sz w:val="24"/>
                <w:szCs w:val="24"/>
                <w:highlight w:val="none"/>
                <w:lang w:val="en-US" w:eastAsia="zh-CN"/>
              </w:rPr>
              <w:t>，由采购人向中标候选人进行询价，</w:t>
            </w:r>
            <w:r>
              <w:rPr>
                <w:rFonts w:hint="eastAsia" w:ascii="仿宋" w:hAnsi="仿宋" w:eastAsia="仿宋" w:cs="楷体"/>
                <w:color w:val="auto"/>
                <w:sz w:val="24"/>
                <w:highlight w:val="none"/>
              </w:rPr>
              <w:t>按最低价中选方式，确定中选单位</w:t>
            </w:r>
            <w:r>
              <w:rPr>
                <w:rFonts w:hint="eastAsia" w:ascii="仿宋" w:hAnsi="仿宋" w:eastAsia="仿宋" w:cs="楷体"/>
                <w:color w:val="auto"/>
                <w:sz w:val="24"/>
                <w:highlight w:val="none"/>
                <w:lang w:eastAsia="zh-CN"/>
              </w:rPr>
              <w:t>。</w:t>
            </w:r>
            <w:r>
              <w:rPr>
                <w:rFonts w:hint="eastAsia" w:ascii="仿宋" w:hAnsi="仿宋" w:eastAsia="仿宋" w:cs="楷体"/>
                <w:color w:val="auto"/>
                <w:sz w:val="24"/>
                <w:szCs w:val="24"/>
                <w:highlight w:val="none"/>
                <w:lang w:val="en-US" w:eastAsia="zh-CN"/>
              </w:rPr>
              <w:t>如存在多名候选人同时并列第3名，则一并作为候选单位。</w:t>
            </w:r>
          </w:p>
          <w:p>
            <w:pPr>
              <w:rPr>
                <w:rFonts w:hint="eastAsia" w:ascii="仿宋" w:hAnsi="仿宋" w:eastAsia="仿宋" w:cs="楷体"/>
                <w:color w:val="auto"/>
                <w:kern w:val="2"/>
                <w:sz w:val="24"/>
                <w:szCs w:val="24"/>
                <w:highlight w:val="none"/>
                <w:lang w:val="en-US" w:eastAsia="zh-CN" w:bidi="ar-SA"/>
              </w:rPr>
            </w:pPr>
            <w:r>
              <w:rPr>
                <w:rFonts w:hint="eastAsia" w:ascii="仿宋" w:hAnsi="仿宋" w:eastAsia="仿宋" w:cs="楷体"/>
                <w:color w:val="auto"/>
                <w:kern w:val="2"/>
                <w:sz w:val="24"/>
                <w:szCs w:val="24"/>
                <w:highlight w:val="none"/>
                <w:lang w:val="en-US" w:eastAsia="zh-CN" w:bidi="ar-SA"/>
              </w:rPr>
              <w:t xml:space="preserve">2.合同须按照采购人提供的合同版本进行签订，投标单位参与报名即视为无条件同意按照采购人提供的合同版本签订合同，如未按照采购人提供的合同版本进行签约，采购人有权对该招标事项进行终止并重新招标。 </w:t>
            </w:r>
          </w:p>
          <w:p>
            <w:pPr>
              <w:rPr>
                <w:rFonts w:hint="eastAsia" w:ascii="仿宋" w:hAnsi="仿宋" w:eastAsia="仿宋" w:cs="楷体"/>
                <w:color w:val="auto"/>
                <w:kern w:val="2"/>
                <w:sz w:val="24"/>
                <w:szCs w:val="24"/>
                <w:highlight w:val="none"/>
                <w:lang w:val="en-US" w:eastAsia="zh-CN" w:bidi="ar-SA"/>
              </w:rPr>
            </w:pPr>
            <w:r>
              <w:rPr>
                <w:rFonts w:hint="eastAsia" w:ascii="仿宋" w:hAnsi="仿宋" w:eastAsia="仿宋" w:cs="楷体"/>
                <w:color w:val="auto"/>
                <w:kern w:val="2"/>
                <w:sz w:val="24"/>
                <w:szCs w:val="24"/>
                <w:highlight w:val="none"/>
                <w:lang w:val="en-US" w:eastAsia="zh-CN" w:bidi="ar-SA"/>
              </w:rPr>
              <w:t>3.合同的变更、终止等，适用《中华人民共和国民法典》等法律法规的规定。</w:t>
            </w:r>
          </w:p>
          <w:p>
            <w:pPr>
              <w:rPr>
                <w:rFonts w:hint="eastAsia" w:ascii="仿宋" w:hAnsi="仿宋" w:eastAsia="仿宋" w:cs="楷体"/>
                <w:color w:val="auto"/>
                <w:kern w:val="2"/>
                <w:sz w:val="24"/>
                <w:szCs w:val="24"/>
                <w:highlight w:val="none"/>
                <w:lang w:val="en-US" w:eastAsia="zh-CN" w:bidi="ar-SA"/>
              </w:rPr>
            </w:pPr>
            <w:r>
              <w:rPr>
                <w:rFonts w:hint="eastAsia" w:ascii="仿宋" w:hAnsi="仿宋" w:eastAsia="仿宋" w:cs="楷体"/>
                <w:color w:val="auto"/>
                <w:kern w:val="2"/>
                <w:sz w:val="24"/>
                <w:szCs w:val="24"/>
                <w:highlight w:val="none"/>
                <w:lang w:val="en-US" w:eastAsia="zh-CN" w:bidi="ar-SA"/>
              </w:rPr>
              <w:t>4.按索引目录顺序提供相应投标资料（后附）。</w:t>
            </w:r>
          </w:p>
          <w:p>
            <w:pPr>
              <w:pStyle w:val="2"/>
              <w:ind w:firstLine="0" w:firstLineChars="0"/>
              <w:rPr>
                <w:rFonts w:hint="eastAsia" w:ascii="仿宋" w:hAnsi="仿宋" w:eastAsia="仿宋" w:cs="楷体"/>
                <w:b/>
                <w:bCs/>
                <w:color w:val="auto"/>
                <w:sz w:val="24"/>
                <w:highlight w:val="none"/>
                <w:lang w:val="en-US" w:eastAsia="zh-CN"/>
              </w:rPr>
            </w:pPr>
            <w:r>
              <w:rPr>
                <w:rFonts w:hint="eastAsia" w:ascii="仿宋" w:hAnsi="仿宋" w:eastAsia="仿宋" w:cs="楷体"/>
                <w:color w:val="auto"/>
                <w:kern w:val="2"/>
                <w:sz w:val="24"/>
                <w:szCs w:val="24"/>
                <w:highlight w:val="none"/>
                <w:lang w:val="en-US" w:eastAsia="zh-CN" w:bidi="ar-SA"/>
              </w:rPr>
              <w:t>5.投标文件递交：</w:t>
            </w:r>
            <w:r>
              <w:rPr>
                <w:rFonts w:hint="eastAsia" w:ascii="仿宋" w:hAnsi="仿宋" w:eastAsia="仿宋" w:cs="楷体"/>
                <w:color w:val="auto"/>
                <w:sz w:val="24"/>
                <w:highlight w:val="none"/>
              </w:rPr>
              <w:t>于投标截止时间（202</w:t>
            </w:r>
            <w:r>
              <w:rPr>
                <w:rFonts w:hint="eastAsia" w:ascii="仿宋" w:hAnsi="仿宋" w:eastAsia="仿宋" w:cs="楷体"/>
                <w:color w:val="auto"/>
                <w:sz w:val="24"/>
                <w:highlight w:val="none"/>
                <w:lang w:val="en-US" w:eastAsia="zh-CN"/>
              </w:rPr>
              <w:t>5</w:t>
            </w:r>
            <w:r>
              <w:rPr>
                <w:rFonts w:hint="eastAsia" w:ascii="仿宋" w:hAnsi="仿宋" w:eastAsia="仿宋" w:cs="楷体"/>
                <w:color w:val="auto"/>
                <w:sz w:val="24"/>
                <w:highlight w:val="none"/>
              </w:rPr>
              <w:t>年</w:t>
            </w:r>
            <w:r>
              <w:rPr>
                <w:rFonts w:hint="eastAsia" w:ascii="仿宋" w:hAnsi="仿宋" w:eastAsia="仿宋" w:cs="楷体"/>
                <w:color w:val="auto"/>
                <w:sz w:val="24"/>
                <w:highlight w:val="none"/>
                <w:lang w:val="en-US" w:eastAsia="zh-CN"/>
              </w:rPr>
              <w:t>3</w:t>
            </w:r>
            <w:r>
              <w:rPr>
                <w:rFonts w:hint="eastAsia" w:ascii="仿宋" w:hAnsi="仿宋" w:eastAsia="仿宋" w:cs="楷体"/>
                <w:color w:val="auto"/>
                <w:sz w:val="24"/>
                <w:highlight w:val="none"/>
              </w:rPr>
              <w:t>月</w:t>
            </w:r>
            <w:r>
              <w:rPr>
                <w:rFonts w:hint="eastAsia" w:ascii="仿宋" w:hAnsi="仿宋" w:eastAsia="仿宋" w:cs="楷体"/>
                <w:color w:val="auto"/>
                <w:sz w:val="24"/>
                <w:highlight w:val="none"/>
                <w:lang w:val="en-US" w:eastAsia="zh-CN"/>
              </w:rPr>
              <w:t>31</w:t>
            </w:r>
            <w:r>
              <w:rPr>
                <w:rFonts w:hint="eastAsia" w:ascii="仿宋" w:hAnsi="仿宋" w:eastAsia="仿宋" w:cs="楷体"/>
                <w:color w:val="auto"/>
                <w:sz w:val="24"/>
                <w:highlight w:val="none"/>
              </w:rPr>
              <w:t>日</w:t>
            </w:r>
            <w:r>
              <w:rPr>
                <w:rFonts w:hint="eastAsia" w:ascii="仿宋" w:hAnsi="仿宋" w:eastAsia="仿宋" w:cs="楷体"/>
                <w:color w:val="auto"/>
                <w:sz w:val="24"/>
                <w:highlight w:val="none"/>
                <w:lang w:val="en-US" w:eastAsia="zh-CN"/>
              </w:rPr>
              <w:t>17</w:t>
            </w:r>
            <w:r>
              <w:rPr>
                <w:rFonts w:hint="eastAsia" w:ascii="仿宋" w:hAnsi="仿宋" w:eastAsia="仿宋" w:cs="楷体"/>
                <w:color w:val="auto"/>
                <w:sz w:val="24"/>
                <w:highlight w:val="none"/>
              </w:rPr>
              <w:t>点</w:t>
            </w:r>
            <w:r>
              <w:rPr>
                <w:rFonts w:hint="eastAsia" w:ascii="仿宋" w:hAnsi="仿宋" w:eastAsia="仿宋" w:cs="楷体"/>
                <w:color w:val="auto"/>
                <w:sz w:val="24"/>
                <w:highlight w:val="none"/>
                <w:lang w:val="en-US" w:eastAsia="zh-CN"/>
              </w:rPr>
              <w:t>30</w:t>
            </w:r>
            <w:r>
              <w:rPr>
                <w:rFonts w:hint="eastAsia" w:ascii="仿宋" w:hAnsi="仿宋" w:eastAsia="仿宋" w:cs="楷体"/>
                <w:color w:val="auto"/>
                <w:sz w:val="24"/>
                <w:highlight w:val="none"/>
              </w:rPr>
              <w:t>分）前以电子邮件形式发送至邮箱：gdfyhj@163.com（邮件名称标注：</w:t>
            </w:r>
            <w:r>
              <w:rPr>
                <w:rFonts w:hint="eastAsia" w:ascii="仿宋" w:hAnsi="仿宋" w:eastAsia="仿宋" w:cs="楷体"/>
                <w:color w:val="auto"/>
                <w:sz w:val="24"/>
                <w:highlight w:val="none"/>
                <w:lang w:eastAsia="zh-CN"/>
              </w:rPr>
              <w:t>投标单位</w:t>
            </w:r>
            <w:r>
              <w:rPr>
                <w:rFonts w:hint="eastAsia" w:ascii="仿宋" w:hAnsi="仿宋" w:eastAsia="仿宋" w:cs="楷体"/>
                <w:color w:val="auto"/>
                <w:sz w:val="24"/>
                <w:highlight w:val="none"/>
              </w:rPr>
              <w:t>名称+项目名称）</w:t>
            </w:r>
            <w:r>
              <w:rPr>
                <w:rFonts w:hint="eastAsia" w:ascii="仿宋" w:hAnsi="仿宋" w:eastAsia="仿宋" w:cs="楷体"/>
                <w:color w:val="auto"/>
                <w:sz w:val="24"/>
                <w:highlight w:val="none"/>
                <w:lang w:eastAsia="zh-CN"/>
              </w:rPr>
              <w:t>，</w:t>
            </w:r>
            <w:r>
              <w:rPr>
                <w:rFonts w:hint="eastAsia" w:ascii="仿宋" w:hAnsi="仿宋" w:eastAsia="仿宋" w:cs="楷体"/>
                <w:color w:val="auto"/>
                <w:sz w:val="24"/>
                <w:highlight w:val="none"/>
              </w:rPr>
              <w:t>明确要求</w:t>
            </w:r>
            <w:r>
              <w:rPr>
                <w:rFonts w:hint="eastAsia" w:ascii="仿宋" w:hAnsi="仿宋" w:eastAsia="仿宋" w:cs="楷体"/>
                <w:color w:val="auto"/>
                <w:sz w:val="24"/>
                <w:highlight w:val="none"/>
                <w:lang w:eastAsia="zh-CN"/>
              </w:rPr>
              <w:t>投标单位</w:t>
            </w:r>
            <w:r>
              <w:rPr>
                <w:rFonts w:hint="eastAsia" w:ascii="仿宋" w:hAnsi="仿宋" w:eastAsia="仿宋" w:cs="楷体"/>
                <w:color w:val="auto"/>
                <w:sz w:val="24"/>
                <w:highlight w:val="none"/>
              </w:rPr>
              <w:t>加盖单位章之处，必须加盖单位章，同时必须加盖骑缝章。</w:t>
            </w:r>
            <w:r>
              <w:rPr>
                <w:rFonts w:hint="eastAsia" w:ascii="仿宋" w:hAnsi="仿宋" w:eastAsia="仿宋" w:cs="楷体"/>
                <w:b/>
                <w:bCs/>
                <w:color w:val="auto"/>
                <w:sz w:val="24"/>
                <w:highlight w:val="none"/>
                <w:lang w:val="en-US" w:eastAsia="zh-CN"/>
              </w:rPr>
              <w:t>投标文件应简洁且表述明确，页码总数最多不得超过100页，否则评审时有权视为无效投标文件。</w:t>
            </w:r>
          </w:p>
          <w:p>
            <w:pPr>
              <w:ind w:left="0" w:leftChars="0" w:firstLineChars="0"/>
              <w:rPr>
                <w:color w:val="auto"/>
                <w:highlight w:val="none"/>
              </w:rPr>
            </w:pPr>
            <w:r>
              <w:rPr>
                <w:rFonts w:hint="eastAsia" w:ascii="仿宋" w:hAnsi="仿宋" w:eastAsia="仿宋" w:cs="楷体"/>
                <w:color w:val="auto"/>
                <w:sz w:val="24"/>
                <w:highlight w:val="none"/>
                <w:lang w:val="en-US" w:eastAsia="zh-CN"/>
              </w:rPr>
              <w:t>6.如参与投标的单位数量或通过资格审查的单位数量不足3家，则需重新采购。</w:t>
            </w:r>
          </w:p>
        </w:tc>
      </w:tr>
      <w:bookmarkEnd w:id="1"/>
    </w:tbl>
    <w:p>
      <w:pPr>
        <w:ind w:firstLine="560" w:firstLineChars="200"/>
        <w:rPr>
          <w:rFonts w:ascii="Calibri" w:hAnsi="Calibri" w:eastAsia="楷体" w:cs="Times New Roman"/>
          <w:sz w:val="28"/>
        </w:rPr>
      </w:pPr>
    </w:p>
    <w:p>
      <w:pPr>
        <w:pStyle w:val="2"/>
      </w:pPr>
    </w:p>
    <w:p>
      <w:r>
        <w:br w:type="page"/>
      </w:r>
    </w:p>
    <w:p/>
    <w:p>
      <w:pPr>
        <w:spacing w:line="500" w:lineRule="exact"/>
        <w:ind w:left="482"/>
        <w:jc w:val="center"/>
        <w:outlineLvl w:val="1"/>
        <w:rPr>
          <w:rFonts w:ascii="宋体" w:hAnsi="宋体"/>
          <w:b/>
          <w:sz w:val="36"/>
          <w:szCs w:val="36"/>
        </w:rPr>
      </w:pPr>
      <w:bookmarkStart w:id="5" w:name="_Toc9467"/>
      <w:r>
        <w:rPr>
          <w:rFonts w:hint="eastAsia" w:ascii="宋体" w:hAnsi="宋体"/>
          <w:b/>
          <w:sz w:val="36"/>
          <w:szCs w:val="36"/>
        </w:rPr>
        <w:t>承 诺 函</w:t>
      </w:r>
      <w:bookmarkEnd w:id="5"/>
    </w:p>
    <w:p>
      <w:pPr>
        <w:spacing w:line="360" w:lineRule="auto"/>
        <w:rPr>
          <w:rFonts w:ascii="宋体" w:hAnsi="宋体"/>
          <w:sz w:val="24"/>
          <w:u w:val="single"/>
        </w:rPr>
      </w:pPr>
    </w:p>
    <w:p>
      <w:pPr>
        <w:spacing w:line="360" w:lineRule="auto"/>
        <w:rPr>
          <w:rFonts w:ascii="宋体"/>
          <w:sz w:val="24"/>
        </w:rPr>
      </w:pP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采购人</w:t>
      </w:r>
      <w:r>
        <w:rPr>
          <w:rFonts w:hint="eastAsia" w:ascii="宋体" w:hAnsi="宋体"/>
          <w:sz w:val="24"/>
        </w:rPr>
        <w:t>名称）：</w:t>
      </w:r>
    </w:p>
    <w:p>
      <w:pPr>
        <w:autoSpaceDE w:val="0"/>
        <w:autoSpaceDN w:val="0"/>
        <w:adjustRightInd w:val="0"/>
        <w:spacing w:line="360" w:lineRule="auto"/>
        <w:rPr>
          <w:rFonts w:ascii="宋体"/>
          <w:b/>
          <w:sz w:val="28"/>
          <w:szCs w:val="28"/>
        </w:rPr>
      </w:pPr>
      <w:r>
        <w:rPr>
          <w:rFonts w:hint="eastAsia" w:ascii="宋体" w:hAnsi="宋体"/>
          <w:sz w:val="24"/>
        </w:rPr>
        <w:t xml:space="preserve">    我方参加了</w:t>
      </w:r>
      <w:r>
        <w:rPr>
          <w:rFonts w:hint="eastAsia" w:ascii="宋体" w:hAnsi="宋体"/>
          <w:sz w:val="24"/>
          <w:u w:val="single"/>
        </w:rPr>
        <w:t xml:space="preserve">                    </w:t>
      </w:r>
      <w:r>
        <w:rPr>
          <w:rFonts w:hint="eastAsia" w:ascii="宋体" w:hAnsi="宋体"/>
          <w:sz w:val="24"/>
          <w:lang w:val="en-US" w:eastAsia="zh-CN"/>
        </w:rPr>
        <w:t>择优选取</w:t>
      </w:r>
      <w:r>
        <w:rPr>
          <w:rFonts w:hint="eastAsia" w:ascii="宋体" w:hAnsi="宋体"/>
          <w:sz w:val="24"/>
        </w:rPr>
        <w:t>，若我方</w:t>
      </w:r>
      <w:r>
        <w:rPr>
          <w:rFonts w:hint="eastAsia" w:ascii="宋体" w:hAnsi="宋体"/>
          <w:sz w:val="24"/>
          <w:lang w:val="en-US" w:eastAsia="zh-CN"/>
        </w:rPr>
        <w:t>中选</w:t>
      </w:r>
      <w:r>
        <w:rPr>
          <w:rFonts w:hint="eastAsia" w:ascii="宋体" w:hAnsi="宋体"/>
          <w:sz w:val="24"/>
        </w:rPr>
        <w:t>，我方在此承诺：</w:t>
      </w:r>
    </w:p>
    <w:p>
      <w:pPr>
        <w:spacing w:line="360" w:lineRule="auto"/>
        <w:ind w:firstLine="540" w:firstLineChars="225"/>
        <w:rPr>
          <w:rFonts w:ascii="宋体"/>
          <w:sz w:val="24"/>
        </w:rPr>
      </w:pPr>
      <w:r>
        <w:rPr>
          <w:rFonts w:ascii="宋体" w:hAnsi="宋体"/>
          <w:sz w:val="24"/>
        </w:rPr>
        <w:t>1</w:t>
      </w:r>
      <w:r>
        <w:rPr>
          <w:rFonts w:hint="eastAsia" w:ascii="宋体" w:hAnsi="宋体"/>
          <w:sz w:val="24"/>
        </w:rPr>
        <w:t>、我公司将严格按照</w:t>
      </w:r>
      <w:r>
        <w:rPr>
          <w:rFonts w:hint="eastAsia" w:ascii="宋体" w:hAnsi="宋体"/>
          <w:sz w:val="24"/>
          <w:lang w:val="en-US" w:eastAsia="zh-CN"/>
        </w:rPr>
        <w:t>需求文件</w:t>
      </w:r>
      <w:r>
        <w:rPr>
          <w:rFonts w:hint="eastAsia" w:ascii="宋体" w:hAnsi="宋体"/>
          <w:sz w:val="24"/>
        </w:rPr>
        <w:t>相关要求，</w:t>
      </w:r>
      <w:r>
        <w:rPr>
          <w:rFonts w:hint="eastAsia" w:ascii="宋体" w:hAnsi="宋体"/>
          <w:b/>
          <w:bCs/>
          <w:sz w:val="24"/>
          <w:lang w:val="en-US" w:eastAsia="zh-CN"/>
        </w:rPr>
        <w:t>按照采购人提供的合同签订合同，</w:t>
      </w:r>
      <w:r>
        <w:rPr>
          <w:rFonts w:hint="eastAsia" w:ascii="宋体" w:hAnsi="宋体"/>
          <w:b/>
          <w:bCs/>
          <w:sz w:val="24"/>
        </w:rPr>
        <w:t>在合同约定的期限内完成本项目的任务。</w:t>
      </w:r>
    </w:p>
    <w:p>
      <w:pPr>
        <w:spacing w:line="360" w:lineRule="auto"/>
        <w:ind w:firstLine="540" w:firstLineChars="225"/>
        <w:rPr>
          <w:rFonts w:ascii="宋体" w:hAnsi="宋体"/>
          <w:sz w:val="24"/>
        </w:rPr>
      </w:pPr>
      <w:r>
        <w:rPr>
          <w:rFonts w:ascii="宋体" w:hAnsi="宋体"/>
          <w:sz w:val="24"/>
        </w:rPr>
        <w:t>2</w:t>
      </w:r>
      <w:r>
        <w:rPr>
          <w:rFonts w:hint="eastAsia" w:ascii="宋体" w:hAnsi="宋体"/>
          <w:sz w:val="24"/>
        </w:rPr>
        <w:t>、在合同期内，我公司将严格遵守投标承诺不提价，严格按照</w:t>
      </w:r>
      <w:r>
        <w:rPr>
          <w:rFonts w:hint="eastAsia" w:ascii="宋体" w:hAnsi="宋体"/>
          <w:sz w:val="24"/>
          <w:lang w:val="en-US" w:eastAsia="zh-CN"/>
        </w:rPr>
        <w:t>需求</w:t>
      </w:r>
      <w:r>
        <w:rPr>
          <w:rFonts w:hint="eastAsia" w:ascii="宋体" w:hAnsi="宋体"/>
          <w:sz w:val="24"/>
        </w:rPr>
        <w:t>文件、投标文件、合同文件的要求执行。</w:t>
      </w:r>
    </w:p>
    <w:p>
      <w:pPr>
        <w:pStyle w:val="2"/>
      </w:pPr>
    </w:p>
    <w:p>
      <w:pPr>
        <w:spacing w:line="360" w:lineRule="auto"/>
        <w:ind w:firstLine="540" w:firstLineChars="225"/>
        <w:rPr>
          <w:rFonts w:ascii="宋体"/>
          <w:sz w:val="24"/>
        </w:rPr>
      </w:pPr>
      <w:r>
        <w:rPr>
          <w:rFonts w:hint="eastAsia" w:ascii="宋体" w:hAnsi="宋体"/>
          <w:sz w:val="24"/>
        </w:rPr>
        <w:t>如我公司违背了上述承诺，本项目</w:t>
      </w:r>
      <w:r>
        <w:rPr>
          <w:rFonts w:hint="eastAsia" w:ascii="宋体" w:hAnsi="宋体"/>
          <w:sz w:val="24"/>
          <w:lang w:val="en-US" w:eastAsia="zh-CN"/>
        </w:rPr>
        <w:t>采购人</w:t>
      </w:r>
      <w:r>
        <w:rPr>
          <w:rFonts w:hint="eastAsia" w:ascii="宋体" w:hAnsi="宋体"/>
          <w:sz w:val="24"/>
        </w:rPr>
        <w:t>有权取消我公司</w:t>
      </w:r>
      <w:r>
        <w:rPr>
          <w:rFonts w:hint="eastAsia" w:ascii="宋体" w:hAnsi="宋体"/>
          <w:sz w:val="24"/>
          <w:lang w:val="en-US" w:eastAsia="zh-CN"/>
        </w:rPr>
        <w:t>中选</w:t>
      </w:r>
      <w:r>
        <w:rPr>
          <w:rFonts w:hint="eastAsia" w:ascii="宋体" w:hAnsi="宋体"/>
          <w:sz w:val="24"/>
        </w:rPr>
        <w:t>的资格或解除合同。</w:t>
      </w:r>
    </w:p>
    <w:p>
      <w:pPr>
        <w:spacing w:line="360" w:lineRule="auto"/>
        <w:ind w:firstLine="540" w:firstLineChars="225"/>
        <w:rPr>
          <w:rFonts w:ascii="宋体"/>
          <w:sz w:val="24"/>
        </w:rPr>
      </w:pPr>
    </w:p>
    <w:p>
      <w:pPr>
        <w:spacing w:line="360" w:lineRule="auto"/>
        <w:ind w:firstLine="540" w:firstLineChars="225"/>
        <w:rPr>
          <w:rFonts w:ascii="宋体"/>
          <w:sz w:val="24"/>
        </w:rPr>
      </w:pPr>
    </w:p>
    <w:p>
      <w:pPr>
        <w:spacing w:line="360" w:lineRule="auto"/>
        <w:ind w:firstLine="540" w:firstLineChars="225"/>
        <w:rPr>
          <w:rFonts w:ascii="宋体"/>
          <w:sz w:val="24"/>
        </w:rPr>
      </w:pPr>
    </w:p>
    <w:p>
      <w:pPr>
        <w:spacing w:line="360" w:lineRule="auto"/>
        <w:rPr>
          <w:rFonts w:ascii="宋体"/>
          <w:sz w:val="24"/>
        </w:rPr>
      </w:pPr>
    </w:p>
    <w:p>
      <w:pPr>
        <w:spacing w:line="360" w:lineRule="auto"/>
        <w:ind w:firstLine="3420" w:firstLineChars="1425"/>
        <w:jc w:val="both"/>
        <w:rPr>
          <w:rFonts w:ascii="宋体"/>
          <w:sz w:val="24"/>
        </w:rPr>
      </w:pPr>
      <w:r>
        <w:rPr>
          <w:rFonts w:hint="eastAsia" w:ascii="宋体" w:hAnsi="宋体"/>
          <w:sz w:val="24"/>
          <w:lang w:val="en-US" w:eastAsia="zh-CN"/>
        </w:rPr>
        <w:t>投标单位</w:t>
      </w:r>
      <w:r>
        <w:rPr>
          <w:rFonts w:hint="eastAsia" w:ascii="宋体" w:hAnsi="宋体"/>
          <w:sz w:val="24"/>
        </w:rPr>
        <w:t>：</w:t>
      </w:r>
      <w:r>
        <w:rPr>
          <w:rFonts w:ascii="宋体" w:hAnsi="宋体"/>
          <w:sz w:val="24"/>
          <w:u w:val="single"/>
        </w:rPr>
        <w:t xml:space="preserve">                    </w:t>
      </w:r>
      <w:r>
        <w:rPr>
          <w:rFonts w:hint="eastAsia" w:ascii="宋体" w:hAnsi="宋体"/>
          <w:sz w:val="24"/>
        </w:rPr>
        <w:t>（盖单位章）</w:t>
      </w:r>
    </w:p>
    <w:p>
      <w:pPr>
        <w:spacing w:line="360" w:lineRule="auto"/>
        <w:ind w:firstLine="3360" w:firstLineChars="1400"/>
        <w:jc w:val="both"/>
        <w:rPr>
          <w:rFonts w:ascii="宋体"/>
          <w:sz w:val="24"/>
        </w:rPr>
      </w:pP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（签字）</w:t>
      </w:r>
    </w:p>
    <w:p>
      <w:pPr>
        <w:spacing w:line="360" w:lineRule="auto"/>
        <w:ind w:firstLine="4740" w:firstLineChars="1975"/>
        <w:jc w:val="right"/>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r>
        <w:br w:type="page"/>
      </w:r>
    </w:p>
    <w:p>
      <w:pPr>
        <w:spacing w:line="500" w:lineRule="exact"/>
        <w:ind w:left="482"/>
        <w:jc w:val="center"/>
        <w:outlineLvl w:val="1"/>
        <w:rPr>
          <w:rFonts w:hint="eastAsia" w:ascii="宋体" w:hAnsi="宋体"/>
          <w:b/>
          <w:sz w:val="36"/>
          <w:szCs w:val="36"/>
          <w:lang w:val="en-US" w:eastAsia="zh-CN"/>
        </w:rPr>
      </w:pPr>
      <w:r>
        <w:rPr>
          <w:rFonts w:hint="eastAsia" w:ascii="宋体" w:hAnsi="宋体"/>
          <w:b/>
          <w:sz w:val="36"/>
          <w:szCs w:val="36"/>
          <w:lang w:val="en-US" w:eastAsia="zh-CN"/>
        </w:rPr>
        <w:t>索引目录（模板）</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937"/>
        <w:gridCol w:w="250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序号</w:t>
            </w:r>
          </w:p>
        </w:tc>
        <w:tc>
          <w:tcPr>
            <w:tcW w:w="3937"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内容</w:t>
            </w:r>
          </w:p>
        </w:tc>
        <w:tc>
          <w:tcPr>
            <w:tcW w:w="2500"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页码</w:t>
            </w:r>
          </w:p>
        </w:tc>
        <w:tc>
          <w:tcPr>
            <w:tcW w:w="1280"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1</w:t>
            </w:r>
          </w:p>
        </w:tc>
        <w:tc>
          <w:tcPr>
            <w:tcW w:w="3937" w:type="dxa"/>
            <w:vAlign w:val="center"/>
          </w:tcPr>
          <w:p>
            <w:pPr>
              <w:pStyle w:val="2"/>
              <w:ind w:firstLine="0" w:firstLineChars="0"/>
              <w:jc w:val="center"/>
              <w:rPr>
                <w:rFonts w:hint="default"/>
                <w:lang w:val="en-US" w:eastAsia="zh-CN"/>
              </w:rPr>
            </w:pPr>
            <w:r>
              <w:rPr>
                <w:rFonts w:hint="eastAsia"/>
                <w:lang w:val="en-US" w:eastAsia="zh-CN"/>
              </w:rPr>
              <w:t>企业资质（含营业执照）</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2</w:t>
            </w:r>
          </w:p>
        </w:tc>
        <w:tc>
          <w:tcPr>
            <w:tcW w:w="3937"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项目负责人资质</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3</w:t>
            </w:r>
          </w:p>
        </w:tc>
        <w:tc>
          <w:tcPr>
            <w:tcW w:w="3937" w:type="dxa"/>
            <w:vAlign w:val="center"/>
          </w:tcPr>
          <w:p>
            <w:pPr>
              <w:pStyle w:val="2"/>
              <w:ind w:firstLine="0" w:firstLineChars="0"/>
              <w:jc w:val="center"/>
              <w:rPr>
                <w:rFonts w:hint="default"/>
                <w:vertAlign w:val="baseline"/>
                <w:lang w:val="en-US" w:eastAsia="zh-CN"/>
              </w:rPr>
            </w:pPr>
            <w:r>
              <w:rPr>
                <w:rFonts w:hint="eastAsia"/>
                <w:vertAlign w:val="baseline"/>
                <w:lang w:val="en-US" w:eastAsia="zh-CN"/>
              </w:rPr>
              <w:t>承诺函</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4</w:t>
            </w:r>
          </w:p>
        </w:tc>
        <w:tc>
          <w:tcPr>
            <w:tcW w:w="3937" w:type="dxa"/>
            <w:vAlign w:val="center"/>
          </w:tcPr>
          <w:p>
            <w:pPr>
              <w:pStyle w:val="2"/>
              <w:ind w:firstLine="0" w:firstLineChars="0"/>
              <w:jc w:val="center"/>
              <w:rPr>
                <w:rFonts w:hint="eastAsia"/>
                <w:vertAlign w:val="baseline"/>
                <w:lang w:val="en-US" w:eastAsia="zh-CN"/>
              </w:rPr>
            </w:pPr>
            <w:r>
              <w:rPr>
                <w:rFonts w:hint="eastAsia" w:asciiTheme="minorHAnsi" w:hAnsiTheme="minorHAnsi" w:eastAsiaTheme="minorEastAsia" w:cstheme="minorBidi"/>
                <w:sz w:val="21"/>
                <w:szCs w:val="24"/>
                <w:lang w:val="en-US" w:eastAsia="zh-CN"/>
              </w:rPr>
              <w:t>对本项目的服务响应情况</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5</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asciiTheme="minorHAnsi" w:hAnsiTheme="minorHAnsi" w:eastAsiaTheme="minorEastAsia" w:cstheme="minorBidi"/>
                <w:sz w:val="21"/>
                <w:szCs w:val="24"/>
                <w:lang w:val="en-US" w:eastAsia="zh-CN"/>
              </w:rPr>
              <w:t>类似业绩实施情况</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6</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rPr>
              <w:t>本项目实施的优势</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7</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asciiTheme="minorHAnsi" w:hAnsiTheme="minorHAnsi" w:eastAsiaTheme="minorEastAsia" w:cstheme="minorBidi"/>
                <w:sz w:val="21"/>
                <w:szCs w:val="24"/>
                <w:lang w:val="en-US" w:eastAsia="zh-CN"/>
              </w:rPr>
              <w:t>其他</w:t>
            </w:r>
            <w:r>
              <w:rPr>
                <w:rFonts w:hint="eastAsia" w:cstheme="minorBidi"/>
                <w:sz w:val="21"/>
                <w:szCs w:val="24"/>
                <w:lang w:val="en-US" w:eastAsia="zh-CN"/>
              </w:rPr>
              <w:t>（如有）</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bl>
    <w:p>
      <w:pPr>
        <w:pStyle w:val="2"/>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F146C9"/>
    <w:multiLevelType w:val="singleLevel"/>
    <w:tmpl w:val="ADF146C9"/>
    <w:lvl w:ilvl="0" w:tentative="0">
      <w:start w:val="1"/>
      <w:numFmt w:val="decimal"/>
      <w:lvlText w:val="%1."/>
      <w:lvlJc w:val="left"/>
      <w:pPr>
        <w:tabs>
          <w:tab w:val="left" w:pos="312"/>
        </w:tabs>
      </w:pPr>
    </w:lvl>
  </w:abstractNum>
  <w:abstractNum w:abstractNumId="1">
    <w:nsid w:val="1E890769"/>
    <w:multiLevelType w:val="singleLevel"/>
    <w:tmpl w:val="1E89076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CE"/>
    <w:rsid w:val="0006417C"/>
    <w:rsid w:val="000A5D4F"/>
    <w:rsid w:val="00141CFF"/>
    <w:rsid w:val="0016366D"/>
    <w:rsid w:val="00163F51"/>
    <w:rsid w:val="00163F8E"/>
    <w:rsid w:val="00287090"/>
    <w:rsid w:val="002B65C5"/>
    <w:rsid w:val="003E318D"/>
    <w:rsid w:val="00435309"/>
    <w:rsid w:val="00477C7F"/>
    <w:rsid w:val="00490807"/>
    <w:rsid w:val="005E3BD5"/>
    <w:rsid w:val="00611173"/>
    <w:rsid w:val="00642579"/>
    <w:rsid w:val="007B395A"/>
    <w:rsid w:val="008C38F6"/>
    <w:rsid w:val="008D7832"/>
    <w:rsid w:val="008D7FCD"/>
    <w:rsid w:val="008E3935"/>
    <w:rsid w:val="00A95F96"/>
    <w:rsid w:val="00B66687"/>
    <w:rsid w:val="00BB37CE"/>
    <w:rsid w:val="00EF4EE1"/>
    <w:rsid w:val="00FC6F4D"/>
    <w:rsid w:val="01DA04CF"/>
    <w:rsid w:val="02171CFC"/>
    <w:rsid w:val="02630388"/>
    <w:rsid w:val="03480F78"/>
    <w:rsid w:val="03AD6E1A"/>
    <w:rsid w:val="052D1C46"/>
    <w:rsid w:val="05393113"/>
    <w:rsid w:val="065D2366"/>
    <w:rsid w:val="067801F4"/>
    <w:rsid w:val="0AE0238A"/>
    <w:rsid w:val="0B8A35F4"/>
    <w:rsid w:val="0C020811"/>
    <w:rsid w:val="0C354CDA"/>
    <w:rsid w:val="0DE71EEB"/>
    <w:rsid w:val="0EB63B69"/>
    <w:rsid w:val="0EDE35DC"/>
    <w:rsid w:val="0F0F60F9"/>
    <w:rsid w:val="0FDA17CC"/>
    <w:rsid w:val="105A0B14"/>
    <w:rsid w:val="1088784A"/>
    <w:rsid w:val="10CC4F0D"/>
    <w:rsid w:val="1112388E"/>
    <w:rsid w:val="111F3CDF"/>
    <w:rsid w:val="122E14C4"/>
    <w:rsid w:val="12626C8C"/>
    <w:rsid w:val="13020421"/>
    <w:rsid w:val="13EB3718"/>
    <w:rsid w:val="1CCF75A3"/>
    <w:rsid w:val="1D2E08EE"/>
    <w:rsid w:val="1E574E55"/>
    <w:rsid w:val="1EE87F12"/>
    <w:rsid w:val="1FA6387D"/>
    <w:rsid w:val="1FDA3287"/>
    <w:rsid w:val="20986689"/>
    <w:rsid w:val="212A0937"/>
    <w:rsid w:val="22FD47E1"/>
    <w:rsid w:val="25A25051"/>
    <w:rsid w:val="26BE6724"/>
    <w:rsid w:val="26F43175"/>
    <w:rsid w:val="27515689"/>
    <w:rsid w:val="276060E3"/>
    <w:rsid w:val="277933CE"/>
    <w:rsid w:val="2A635327"/>
    <w:rsid w:val="2ACD3FAF"/>
    <w:rsid w:val="2B472C5F"/>
    <w:rsid w:val="2C655F40"/>
    <w:rsid w:val="2F515A51"/>
    <w:rsid w:val="33E0422A"/>
    <w:rsid w:val="37645C3D"/>
    <w:rsid w:val="39404179"/>
    <w:rsid w:val="3A1F50FC"/>
    <w:rsid w:val="3AC41D77"/>
    <w:rsid w:val="3B4B123B"/>
    <w:rsid w:val="3B85703C"/>
    <w:rsid w:val="3D3E5D33"/>
    <w:rsid w:val="3D973D97"/>
    <w:rsid w:val="3E045AE2"/>
    <w:rsid w:val="3EF13F46"/>
    <w:rsid w:val="3F993CEC"/>
    <w:rsid w:val="42494D5D"/>
    <w:rsid w:val="42A92CF7"/>
    <w:rsid w:val="43622A70"/>
    <w:rsid w:val="43F03D78"/>
    <w:rsid w:val="47583F97"/>
    <w:rsid w:val="48510DFB"/>
    <w:rsid w:val="490D18E7"/>
    <w:rsid w:val="49965C35"/>
    <w:rsid w:val="49B8414A"/>
    <w:rsid w:val="4B2772B4"/>
    <w:rsid w:val="4BA44B0D"/>
    <w:rsid w:val="4C994BE1"/>
    <w:rsid w:val="4CBD4393"/>
    <w:rsid w:val="4DA81CDC"/>
    <w:rsid w:val="4EA139F7"/>
    <w:rsid w:val="4F0A7E98"/>
    <w:rsid w:val="533A056A"/>
    <w:rsid w:val="5424387E"/>
    <w:rsid w:val="55A924CD"/>
    <w:rsid w:val="574558F4"/>
    <w:rsid w:val="581D69D3"/>
    <w:rsid w:val="5C866087"/>
    <w:rsid w:val="5CC13868"/>
    <w:rsid w:val="5D5E1874"/>
    <w:rsid w:val="608407A8"/>
    <w:rsid w:val="60FA1BDA"/>
    <w:rsid w:val="619B7337"/>
    <w:rsid w:val="66C93204"/>
    <w:rsid w:val="690C6AB5"/>
    <w:rsid w:val="69407E39"/>
    <w:rsid w:val="698C0ABA"/>
    <w:rsid w:val="6B313980"/>
    <w:rsid w:val="6ECC0A05"/>
    <w:rsid w:val="71D32099"/>
    <w:rsid w:val="73BC594C"/>
    <w:rsid w:val="796F1620"/>
    <w:rsid w:val="7A153553"/>
    <w:rsid w:val="7B4464CB"/>
    <w:rsid w:val="7C3725DB"/>
    <w:rsid w:val="7C4A2F98"/>
    <w:rsid w:val="7C813F99"/>
    <w:rsid w:val="7D1005C0"/>
    <w:rsid w:val="7E9C6F34"/>
    <w:rsid w:val="7EA81185"/>
    <w:rsid w:val="7F3017F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0"/>
    <w:rPr>
      <w:rFonts w:asciiTheme="minorHAnsi" w:hAnsiTheme="minorHAnsi" w:eastAsiaTheme="minorEastAsia" w:cstheme="minorBidi"/>
      <w:kern w:val="2"/>
      <w:sz w:val="18"/>
      <w:szCs w:val="18"/>
    </w:rPr>
  </w:style>
  <w:style w:type="character" w:customStyle="1" w:styleId="9">
    <w:name w:val="页脚 Char"/>
    <w:basedOn w:val="5"/>
    <w:link w:val="3"/>
    <w:qFormat/>
    <w:uiPriority w:val="99"/>
    <w:rPr>
      <w:rFonts w:asciiTheme="minorHAnsi" w:hAnsiTheme="minorHAnsi" w:eastAsiaTheme="minorEastAsia" w:cstheme="minorBidi"/>
      <w:kern w:val="2"/>
      <w:sz w:val="18"/>
      <w:szCs w:val="18"/>
    </w:rPr>
  </w:style>
  <w:style w:type="paragraph" w:customStyle="1" w:styleId="10">
    <w:name w:val="List Paragraph"/>
    <w:basedOn w:val="1"/>
    <w:qFormat/>
    <w:uiPriority w:val="34"/>
    <w:pPr>
      <w:ind w:firstLine="420" w:firstLineChars="200"/>
    </w:pPr>
  </w:style>
  <w:style w:type="paragraph" w:customStyle="1" w:styleId="11">
    <w:name w:val="Table Text"/>
    <w:basedOn w:val="1"/>
    <w:semiHidden/>
    <w:qFormat/>
    <w:uiPriority w:val="0"/>
    <w:rPr>
      <w:rFonts w:ascii="仿宋" w:hAnsi="仿宋" w:eastAsia="仿宋" w:cs="仿宋"/>
      <w:sz w:val="19"/>
      <w:szCs w:val="19"/>
      <w:lang w:val="en-US" w:eastAsia="en-US" w:bidi="ar-SA"/>
    </w:rPr>
  </w:style>
  <w:style w:type="table" w:customStyle="1" w:styleId="12">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3072</Words>
  <Characters>3165</Characters>
  <Lines>12</Lines>
  <Paragraphs>3</Paragraphs>
  <ScaleCrop>false</ScaleCrop>
  <LinksUpToDate>false</LinksUpToDate>
  <CharactersWithSpaces>3299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2020-06-22T06:51:00Z</dcterms:created>
  <dc:creator>吴昊</dc:creator>
  <cp:lastModifiedBy>FY</cp:lastModifiedBy>
  <cp:lastPrinted>2024-06-07T01:35:00Z</cp:lastPrinted>
  <dcterms:modified xsi:type="dcterms:W3CDTF">2025-03-26T09:02:30Z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4658F9BA63524C29953DA75E8BB0C853</vt:lpwstr>
  </property>
  <property fmtid="{D5CDD505-2E9C-101B-9397-08002B2CF9AE}" pid="4" name="KSOTemplateDocerSaveRecord">
    <vt:lpwstr>eyJoZGlkIjoiZDY1OWEwZjFhMjkyMGNlMzBjNGVjYWJkMzQwZGQzMjciLCJ1c2VySWQiOiI3MzQ3MDU3NTMifQ==</vt:lpwstr>
  </property>
</Properties>
</file>