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rPr>
      </w:pPr>
      <w:r>
        <w:rPr>
          <w:rFonts w:hint="eastAsia"/>
          <w:b/>
          <w:sz w:val="44"/>
          <w:lang w:val="en-US" w:eastAsia="zh-CN"/>
        </w:rPr>
        <w:t>采购</w:t>
      </w:r>
      <w:r>
        <w:rPr>
          <w:rFonts w:hint="eastAsia"/>
          <w:b/>
          <w:sz w:val="44"/>
        </w:rPr>
        <w:t>需求书</w:t>
      </w:r>
    </w:p>
    <w:p>
      <w:pPr>
        <w:rPr>
          <w:sz w:val="28"/>
          <w:szCs w:val="28"/>
        </w:rPr>
      </w:pPr>
    </w:p>
    <w:tbl>
      <w:tblPr>
        <w:tblStyle w:val="4"/>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lang w:eastAsia="zh-CN"/>
              </w:rPr>
            </w:pPr>
            <w:r>
              <w:rPr>
                <w:rFonts w:hint="eastAsia" w:ascii="仿宋" w:hAnsi="仿宋" w:eastAsia="仿宋" w:cs="楷体"/>
                <w:color w:val="auto"/>
                <w:sz w:val="24"/>
                <w:szCs w:val="24"/>
                <w:lang w:eastAsia="zh-CN"/>
              </w:rPr>
              <w:t>序号</w:t>
            </w:r>
          </w:p>
        </w:tc>
        <w:tc>
          <w:tcPr>
            <w:tcW w:w="2097" w:type="dxa"/>
            <w:vAlign w:val="center"/>
          </w:tcPr>
          <w:p>
            <w:pPr>
              <w:jc w:val="center"/>
              <w:rPr>
                <w:rFonts w:ascii="仿宋" w:hAnsi="仿宋" w:eastAsia="仿宋" w:cs="楷体"/>
                <w:color w:val="auto"/>
                <w:sz w:val="24"/>
                <w:szCs w:val="24"/>
              </w:rPr>
            </w:pPr>
            <w:r>
              <w:rPr>
                <w:rFonts w:hint="eastAsia" w:ascii="仿宋" w:hAnsi="仿宋" w:eastAsia="仿宋" w:cs="楷体"/>
                <w:color w:val="auto"/>
                <w:sz w:val="24"/>
                <w:szCs w:val="24"/>
              </w:rPr>
              <w:t>类别</w:t>
            </w:r>
          </w:p>
        </w:tc>
        <w:tc>
          <w:tcPr>
            <w:tcW w:w="6259" w:type="dxa"/>
            <w:vAlign w:val="center"/>
          </w:tcPr>
          <w:p>
            <w:pPr>
              <w:jc w:val="center"/>
              <w:rPr>
                <w:rFonts w:hint="eastAsia" w:ascii="仿宋" w:hAnsi="仿宋" w:eastAsia="仿宋" w:cs="楷体"/>
                <w:color w:val="auto"/>
                <w:sz w:val="24"/>
                <w:szCs w:val="24"/>
                <w:lang w:eastAsia="zh-CN"/>
              </w:rPr>
            </w:pPr>
            <w:r>
              <w:rPr>
                <w:rFonts w:hint="eastAsia" w:ascii="仿宋" w:hAnsi="仿宋" w:eastAsia="仿宋" w:cs="仿宋"/>
                <w:color w:val="auto"/>
                <w:sz w:val="24"/>
                <w:szCs w:val="24"/>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color w:val="auto"/>
                <w:sz w:val="24"/>
                <w:szCs w:val="24"/>
              </w:rPr>
            </w:pPr>
            <w:r>
              <w:rPr>
                <w:rFonts w:hint="eastAsia" w:ascii="仿宋" w:hAnsi="仿宋" w:eastAsia="仿宋" w:cs="楷体"/>
                <w:color w:val="auto"/>
                <w:sz w:val="24"/>
                <w:szCs w:val="24"/>
              </w:rPr>
              <w:t>1</w:t>
            </w:r>
          </w:p>
        </w:tc>
        <w:tc>
          <w:tcPr>
            <w:tcW w:w="2097" w:type="dxa"/>
            <w:vAlign w:val="center"/>
          </w:tcPr>
          <w:p>
            <w:pPr>
              <w:rPr>
                <w:rFonts w:ascii="仿宋" w:hAnsi="仿宋" w:eastAsia="仿宋" w:cs="楷体"/>
                <w:color w:val="auto"/>
                <w:sz w:val="24"/>
                <w:szCs w:val="24"/>
              </w:rPr>
            </w:pPr>
            <w:r>
              <w:rPr>
                <w:rFonts w:hint="eastAsia" w:ascii="仿宋" w:hAnsi="仿宋" w:eastAsia="仿宋" w:cs="楷体"/>
                <w:color w:val="auto"/>
                <w:sz w:val="24"/>
                <w:szCs w:val="24"/>
              </w:rPr>
              <w:t>名称</w:t>
            </w:r>
          </w:p>
        </w:tc>
        <w:tc>
          <w:tcPr>
            <w:tcW w:w="6259" w:type="dxa"/>
            <w:vAlign w:val="center"/>
          </w:tcPr>
          <w:p>
            <w:pPr>
              <w:rPr>
                <w:rFonts w:ascii="仿宋" w:hAnsi="仿宋" w:eastAsia="仿宋" w:cs="楷体"/>
                <w:color w:val="auto"/>
                <w:sz w:val="24"/>
                <w:szCs w:val="24"/>
              </w:rPr>
            </w:pPr>
            <w:r>
              <w:rPr>
                <w:rFonts w:hint="eastAsia" w:ascii="仿宋" w:hAnsi="仿宋" w:eastAsia="仿宋" w:cs="楷体"/>
                <w:b w:val="0"/>
                <w:bCs w:val="0"/>
                <w:i w:val="0"/>
                <w:iCs w:val="0"/>
                <w:smallCaps w:val="0"/>
                <w:color w:val="auto"/>
                <w:sz w:val="24"/>
                <w:highlight w:val="none"/>
              </w:rPr>
              <w:t>广佛环线张槎站规划纵二路项目监理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color w:val="auto"/>
                <w:sz w:val="24"/>
                <w:szCs w:val="24"/>
              </w:rPr>
            </w:pPr>
            <w:r>
              <w:rPr>
                <w:rFonts w:hint="eastAsia" w:ascii="仿宋" w:hAnsi="仿宋" w:eastAsia="仿宋" w:cs="楷体"/>
                <w:color w:val="auto"/>
                <w:sz w:val="24"/>
                <w:szCs w:val="24"/>
              </w:rPr>
              <w:t>2</w:t>
            </w:r>
          </w:p>
        </w:tc>
        <w:tc>
          <w:tcPr>
            <w:tcW w:w="2097" w:type="dxa"/>
            <w:vAlign w:val="center"/>
          </w:tcPr>
          <w:p>
            <w:pPr>
              <w:rPr>
                <w:rFonts w:ascii="仿宋" w:hAnsi="仿宋" w:eastAsia="仿宋" w:cs="楷体"/>
                <w:color w:val="auto"/>
                <w:sz w:val="24"/>
                <w:szCs w:val="24"/>
              </w:rPr>
            </w:pPr>
            <w:r>
              <w:rPr>
                <w:rFonts w:hint="eastAsia" w:ascii="仿宋" w:hAnsi="仿宋" w:eastAsia="仿宋" w:cs="楷体"/>
                <w:color w:val="auto"/>
                <w:sz w:val="24"/>
                <w:szCs w:val="24"/>
              </w:rPr>
              <w:t>项目业主情况</w:t>
            </w:r>
          </w:p>
        </w:tc>
        <w:tc>
          <w:tcPr>
            <w:tcW w:w="6259" w:type="dxa"/>
            <w:vAlign w:val="center"/>
          </w:tcPr>
          <w:p>
            <w:p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项目业主名称：广东佛盈汇建工程管理有限公司</w:t>
            </w:r>
          </w:p>
          <w:p>
            <w:p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地址：佛山市禅城区轻工南六街6号</w:t>
            </w:r>
          </w:p>
          <w:p>
            <w:p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联系电话：0757-82500587</w:t>
            </w:r>
          </w:p>
          <w:p>
            <w:pPr>
              <w:rPr>
                <w:rFonts w:ascii="仿宋" w:hAnsi="仿宋" w:eastAsia="仿宋" w:cs="楷体"/>
                <w:color w:val="auto"/>
                <w:sz w:val="24"/>
                <w:szCs w:val="24"/>
              </w:rPr>
            </w:pPr>
            <w:r>
              <w:rPr>
                <w:rFonts w:hint="eastAsia" w:ascii="仿宋" w:hAnsi="仿宋" w:eastAsia="仿宋" w:cs="楷体"/>
                <w:color w:val="auto"/>
                <w:sz w:val="24"/>
                <w:szCs w:val="24"/>
                <w:lang w:val="en-US" w:eastAsia="zh-CN"/>
              </w:rPr>
              <w:t>联系人：黄工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lang w:eastAsia="zh-CN"/>
              </w:rPr>
            </w:pPr>
            <w:r>
              <w:rPr>
                <w:rFonts w:hint="eastAsia" w:ascii="仿宋" w:hAnsi="仿宋" w:eastAsia="仿宋" w:cs="楷体"/>
                <w:color w:val="auto"/>
                <w:sz w:val="24"/>
                <w:szCs w:val="24"/>
                <w:lang w:val="en-US" w:eastAsia="zh-CN"/>
              </w:rPr>
              <w:t>3</w:t>
            </w:r>
          </w:p>
        </w:tc>
        <w:tc>
          <w:tcPr>
            <w:tcW w:w="2097" w:type="dxa"/>
            <w:vAlign w:val="center"/>
          </w:tcPr>
          <w:p>
            <w:pPr>
              <w:rPr>
                <w:rFonts w:ascii="仿宋" w:hAnsi="仿宋" w:eastAsia="仿宋" w:cs="楷体"/>
                <w:color w:val="auto"/>
                <w:sz w:val="24"/>
                <w:szCs w:val="24"/>
              </w:rPr>
            </w:pPr>
            <w:r>
              <w:rPr>
                <w:rFonts w:hint="eastAsia" w:ascii="仿宋" w:hAnsi="仿宋" w:eastAsia="仿宋" w:cs="楷体"/>
                <w:color w:val="auto"/>
                <w:sz w:val="24"/>
                <w:szCs w:val="24"/>
              </w:rPr>
              <w:t>对</w:t>
            </w:r>
            <w:r>
              <w:rPr>
                <w:rFonts w:hint="eastAsia" w:ascii="仿宋" w:hAnsi="仿宋" w:eastAsia="仿宋" w:cs="楷体"/>
                <w:color w:val="auto"/>
                <w:sz w:val="24"/>
                <w:szCs w:val="24"/>
                <w:lang w:val="en-US" w:eastAsia="zh-CN"/>
              </w:rPr>
              <w:t>投标单位</w:t>
            </w:r>
            <w:r>
              <w:rPr>
                <w:rFonts w:hint="eastAsia" w:ascii="仿宋" w:hAnsi="仿宋" w:eastAsia="仿宋" w:cs="楷体"/>
                <w:color w:val="auto"/>
                <w:sz w:val="24"/>
                <w:szCs w:val="24"/>
              </w:rPr>
              <w:t>的资质要求</w:t>
            </w:r>
          </w:p>
        </w:tc>
        <w:tc>
          <w:tcPr>
            <w:tcW w:w="6259" w:type="dxa"/>
            <w:vAlign w:val="center"/>
          </w:tcPr>
          <w:p>
            <w:p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1.中介单位应具有独立法人资格并依法取得有效的营业执照。</w:t>
            </w:r>
          </w:p>
          <w:p>
            <w:p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2.资质要求：中介单位须具有承接本项目所需的</w:t>
            </w:r>
            <w:r>
              <w:rPr>
                <w:rFonts w:hint="eastAsia" w:ascii="仿宋" w:hAnsi="仿宋" w:eastAsia="仿宋" w:cs="楷体"/>
                <w:color w:val="auto"/>
                <w:sz w:val="24"/>
              </w:rPr>
              <w:t>市政公用工程专业监理乙级（或以上）资质</w:t>
            </w:r>
            <w:r>
              <w:rPr>
                <w:rFonts w:hint="eastAsia" w:ascii="仿宋" w:hAnsi="仿宋" w:eastAsia="仿宋" w:cs="楷体"/>
                <w:color w:val="auto"/>
                <w:sz w:val="24"/>
                <w:szCs w:val="24"/>
                <w:lang w:val="en-US" w:eastAsia="zh-CN"/>
              </w:rPr>
              <w:t>。</w:t>
            </w:r>
          </w:p>
          <w:p/>
          <w:p/>
          <w:p>
            <w:pPr>
              <w:numPr>
                <w:ilvl w:val="-1"/>
                <w:numId w:val="0"/>
              </w:numPr>
              <w:ind w:left="0" w:leftChars="0" w:firstLine="0" w:firstLineChars="0"/>
              <w:rPr>
                <w:rFonts w:hint="default" w:ascii="仿宋" w:hAnsi="仿宋" w:eastAsia="仿宋" w:cs="楷体"/>
                <w:color w:val="auto"/>
                <w:sz w:val="24"/>
                <w:lang w:val="en-US" w:eastAsia="zh-CN"/>
              </w:rPr>
            </w:pPr>
            <w:r>
              <w:rPr>
                <w:rFonts w:hint="eastAsia" w:ascii="仿宋" w:hAnsi="仿宋" w:eastAsia="仿宋" w:cs="楷体"/>
                <w:color w:val="auto"/>
                <w:sz w:val="24"/>
                <w:lang w:val="en-US" w:eastAsia="zh-CN"/>
              </w:rPr>
              <w:t>3.项目负责人要求：</w:t>
            </w:r>
            <w:r>
              <w:rPr>
                <w:rFonts w:hint="eastAsia" w:ascii="仿宋" w:hAnsi="仿宋" w:eastAsia="仿宋" w:cs="楷体"/>
                <w:color w:val="auto"/>
                <w:sz w:val="24"/>
              </w:rPr>
              <w:t>建设主管部门颁发的注册于投标人本单位的有效期内的市政公用工程注册监理工程师注册执业证书</w:t>
            </w:r>
            <w:r>
              <w:rPr>
                <w:rFonts w:hint="eastAsia" w:ascii="仿宋" w:hAnsi="仿宋" w:eastAsia="仿宋" w:cs="楷体"/>
                <w:color w:val="auto"/>
                <w:sz w:val="24"/>
                <w:szCs w:val="24"/>
                <w:lang w:val="en-US" w:eastAsia="zh-CN"/>
              </w:rPr>
              <w:t>。</w:t>
            </w:r>
          </w:p>
          <w:p>
            <w:pPr>
              <w:rPr>
                <w:rFonts w:hint="default"/>
                <w:color w:val="auto"/>
                <w:lang w:val="en-US" w:eastAsia="zh-CN"/>
              </w:rPr>
            </w:pPr>
            <w:r>
              <w:rPr>
                <w:rFonts w:hint="eastAsia" w:ascii="仿宋" w:hAnsi="仿宋" w:eastAsia="仿宋" w:cs="楷体"/>
                <w:color w:val="auto"/>
                <w:sz w:val="24"/>
                <w:lang w:val="en-US" w:eastAsia="zh-CN"/>
              </w:rPr>
              <w:t>4.其他要求：按要求提供承诺函。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lang w:eastAsia="zh-CN"/>
              </w:rPr>
            </w:pPr>
            <w:r>
              <w:rPr>
                <w:rFonts w:hint="eastAsia" w:ascii="仿宋" w:hAnsi="仿宋" w:eastAsia="仿宋" w:cs="楷体"/>
                <w:color w:val="auto"/>
                <w:sz w:val="24"/>
                <w:szCs w:val="24"/>
                <w:lang w:val="en-US" w:eastAsia="zh-CN"/>
              </w:rPr>
              <w:t>4</w:t>
            </w:r>
          </w:p>
        </w:tc>
        <w:tc>
          <w:tcPr>
            <w:tcW w:w="2097" w:type="dxa"/>
            <w:vAlign w:val="center"/>
          </w:tcPr>
          <w:p>
            <w:pPr>
              <w:rPr>
                <w:rFonts w:ascii="仿宋" w:hAnsi="仿宋" w:eastAsia="仿宋" w:cs="楷体"/>
                <w:color w:val="auto"/>
                <w:sz w:val="24"/>
                <w:szCs w:val="24"/>
              </w:rPr>
            </w:pPr>
            <w:r>
              <w:rPr>
                <w:rFonts w:hint="eastAsia" w:ascii="仿宋" w:hAnsi="仿宋" w:eastAsia="仿宋" w:cs="楷体"/>
                <w:color w:val="auto"/>
                <w:sz w:val="24"/>
                <w:szCs w:val="24"/>
              </w:rPr>
              <w:t>服务内容和服务要求</w:t>
            </w:r>
          </w:p>
        </w:tc>
        <w:tc>
          <w:tcPr>
            <w:tcW w:w="6259" w:type="dxa"/>
            <w:vAlign w:val="center"/>
          </w:tcPr>
          <w:p>
            <w:pPr>
              <w:pStyle w:val="2"/>
              <w:rPr>
                <w:rFonts w:hint="eastAsia" w:ascii="仿宋" w:hAnsi="仿宋" w:eastAsia="仿宋" w:cs="楷体"/>
                <w:color w:val="auto"/>
                <w:sz w:val="24"/>
                <w:szCs w:val="24"/>
              </w:rPr>
            </w:pPr>
            <w:r>
              <w:rPr>
                <w:rFonts w:hint="eastAsia" w:ascii="仿宋" w:hAnsi="仿宋" w:eastAsia="仿宋" w:cs="楷体"/>
                <w:color w:val="auto"/>
                <w:sz w:val="24"/>
                <w:szCs w:val="24"/>
              </w:rPr>
              <w:t>包括但不限于：</w:t>
            </w:r>
          </w:p>
          <w:p>
            <w:pPr>
              <w:pStyle w:val="2"/>
              <w:rPr>
                <w:rFonts w:hint="eastAsia" w:ascii="仿宋" w:hAnsi="仿宋" w:eastAsia="仿宋" w:cs="楷体"/>
                <w:color w:val="FF0000"/>
                <w:sz w:val="24"/>
                <w:szCs w:val="24"/>
              </w:rPr>
            </w:pPr>
            <w:r>
              <w:rPr>
                <w:rFonts w:hint="eastAsia" w:ascii="仿宋" w:hAnsi="仿宋" w:eastAsia="仿宋" w:cs="楷体"/>
                <w:color w:val="auto"/>
                <w:sz w:val="24"/>
                <w:szCs w:val="24"/>
                <w:lang w:val="en-US" w:eastAsia="zh-CN"/>
              </w:rPr>
              <w:t>1.项目概况：本项目位于佛山市禅城区张槎街道,南起永济路,北至张槎站地库入口,采用支路标准,设计速度为 30km，双向两车道，红线宽度15m，路线全长约 242m。道路东侧采用混凝上硬底化接顺现状电缆沟，同时设置踏步与东侧亲水步道衔接。本项目包含道路、排水、结构、照明、交通、自控和绿化工程。</w:t>
            </w:r>
          </w:p>
          <w:p>
            <w:pPr>
              <w:pStyle w:val="2"/>
              <w:rPr>
                <w:rFonts w:hint="eastAsia" w:ascii="仿宋" w:hAnsi="仿宋" w:eastAsia="仿宋" w:cs="楷体"/>
                <w:color w:val="auto"/>
                <w:sz w:val="24"/>
                <w:szCs w:val="24"/>
              </w:rPr>
            </w:pPr>
            <w:r>
              <w:rPr>
                <w:rFonts w:hint="eastAsia" w:ascii="仿宋" w:hAnsi="仿宋" w:eastAsia="仿宋" w:cs="楷体"/>
                <w:color w:val="auto"/>
                <w:sz w:val="24"/>
                <w:szCs w:val="24"/>
              </w:rPr>
              <w:t>2.服务类型</w:t>
            </w:r>
            <w:r>
              <w:rPr>
                <w:rFonts w:hint="eastAsia" w:ascii="仿宋" w:hAnsi="仿宋" w:eastAsia="仿宋" w:cs="楷体"/>
                <w:color w:val="auto"/>
                <w:sz w:val="24"/>
                <w:szCs w:val="24"/>
                <w:lang w:eastAsia="zh-CN"/>
              </w:rPr>
              <w:t>：</w:t>
            </w:r>
            <w:r>
              <w:rPr>
                <w:rFonts w:hint="eastAsia" w:ascii="仿宋" w:hAnsi="仿宋" w:eastAsia="仿宋" w:cs="楷体"/>
                <w:color w:val="auto"/>
                <w:sz w:val="24"/>
                <w:szCs w:val="24"/>
                <w:lang w:val="en-US" w:eastAsia="zh-CN"/>
              </w:rPr>
              <w:t>工程监理</w:t>
            </w:r>
          </w:p>
          <w:p>
            <w:pPr>
              <w:pStyle w:val="2"/>
              <w:rPr>
                <w:rFonts w:hint="default"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服务要求：按照合同要求完成本项目施工准备阶段、施工阶段、竣工阶段及保修期的监理工作，监理人员须驻场。需按《佛山市政府投资工程建设项目标后履约监管管理办法（试行）》开展监理工作。</w:t>
            </w:r>
          </w:p>
          <w:p>
            <w:pPr>
              <w:pStyle w:val="2"/>
              <w:ind w:firstLine="0" w:firstLineChars="0"/>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质量要求：公平、独立、诚信、科学地开展建设工程监理与相关服务工作，并应符合国家现行建设工程监理规范及有关工程建设标准的规定。</w:t>
            </w:r>
          </w:p>
          <w:p>
            <w:pPr>
              <w:pStyle w:val="2"/>
              <w:ind w:firstLine="0" w:firstLineChars="0"/>
              <w:rPr>
                <w:rFonts w:hint="eastAsia" w:ascii="仿宋" w:hAnsi="仿宋" w:eastAsia="仿宋" w:cs="楷体"/>
                <w:color w:val="auto"/>
                <w:sz w:val="24"/>
                <w:lang w:val="en-US" w:eastAsia="zh-CN"/>
              </w:rPr>
            </w:pPr>
            <w:r>
              <w:rPr>
                <w:rFonts w:hint="eastAsia" w:ascii="仿宋" w:hAnsi="仿宋" w:eastAsia="仿宋" w:cs="楷体"/>
                <w:color w:val="auto"/>
                <w:sz w:val="24"/>
                <w:lang w:val="en-US" w:eastAsia="zh-CN"/>
              </w:rPr>
              <w:t>数量要求：总监理工程师1人，道路专业监理工程师1人。</w:t>
            </w:r>
          </w:p>
          <w:p>
            <w:pPr>
              <w:pStyle w:val="2"/>
              <w:ind w:firstLine="0" w:firstLineChars="0"/>
              <w:rPr>
                <w:rFonts w:hint="default" w:ascii="仿宋" w:hAnsi="仿宋" w:eastAsia="仿宋" w:cs="楷体"/>
                <w:color w:val="auto"/>
                <w:sz w:val="24"/>
                <w:lang w:val="en-US" w:eastAsia="zh-CN"/>
              </w:rPr>
            </w:pPr>
            <w:r>
              <w:rPr>
                <w:rFonts w:hint="eastAsia" w:ascii="仿宋" w:hAnsi="仿宋" w:eastAsia="仿宋" w:cs="楷体"/>
                <w:color w:val="auto"/>
                <w:sz w:val="24"/>
                <w:lang w:val="en-US" w:eastAsia="zh-CN"/>
              </w:rPr>
              <w:t>工期要求：145天</w:t>
            </w:r>
          </w:p>
          <w:p>
            <w:pPr>
              <w:pStyle w:val="2"/>
              <w:numPr>
                <w:ilvl w:val="0"/>
                <w:numId w:val="1"/>
              </w:numPr>
              <w:ind w:firstLine="0" w:firstLineChars="0"/>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招标控制价（最高投标限价）：人民币111100元。中介单位的报价不能超过招标控制价（最高投标限价），否则其投标无效。</w:t>
            </w:r>
          </w:p>
          <w:p>
            <w:r>
              <w:rPr>
                <w:rFonts w:hint="eastAsia" w:ascii="仿宋" w:hAnsi="仿宋" w:eastAsia="仿宋" w:cs="楷体"/>
                <w:color w:val="auto"/>
                <w:sz w:val="24"/>
                <w:szCs w:val="24"/>
                <w:lang w:val="en-US" w:eastAsia="zh-CN"/>
              </w:rPr>
              <w:t>本项目以建安费433.8万元为计算基数，按《</w:t>
            </w:r>
            <w:r>
              <w:rPr>
                <w:rFonts w:hint="eastAsia" w:ascii="仿宋" w:hAnsi="仿宋" w:eastAsia="仿宋" w:cs="楷体"/>
                <w:color w:val="auto"/>
                <w:sz w:val="24"/>
              </w:rPr>
              <w:t>建设工程监理与相关服务收费管理规定</w:t>
            </w:r>
            <w:r>
              <w:rPr>
                <w:rFonts w:hint="eastAsia" w:ascii="仿宋" w:hAnsi="仿宋" w:eastAsia="仿宋" w:cs="楷体"/>
                <w:color w:val="auto"/>
                <w:sz w:val="24"/>
                <w:szCs w:val="24"/>
                <w:lang w:val="en-US" w:eastAsia="zh-CN"/>
              </w:rPr>
              <w:t>》（</w:t>
            </w:r>
            <w:r>
              <w:rPr>
                <w:rFonts w:hint="eastAsia" w:ascii="仿宋" w:hAnsi="仿宋" w:eastAsia="仿宋" w:cs="楷体"/>
                <w:color w:val="auto"/>
                <w:sz w:val="24"/>
              </w:rPr>
              <w:t>发改价格〔2007〕670号</w:t>
            </w:r>
            <w:r>
              <w:rPr>
                <w:rFonts w:hint="eastAsia" w:ascii="仿宋" w:hAnsi="仿宋" w:eastAsia="仿宋" w:cs="楷体"/>
                <w:color w:val="auto"/>
                <w:sz w:val="24"/>
                <w:szCs w:val="24"/>
                <w:lang w:val="en-US" w:eastAsia="zh-CN"/>
              </w:rPr>
              <w:t>）计算监理服务费。</w:t>
            </w:r>
          </w:p>
          <w:p/>
          <w:p>
            <w:pPr>
              <w:pStyle w:val="2"/>
              <w:rPr>
                <w:rFonts w:hint="default"/>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lang w:eastAsia="zh-CN"/>
              </w:rPr>
            </w:pPr>
            <w:r>
              <w:rPr>
                <w:rFonts w:hint="eastAsia" w:ascii="仿宋" w:hAnsi="仿宋" w:eastAsia="仿宋" w:cs="楷体"/>
                <w:color w:val="auto"/>
                <w:sz w:val="24"/>
                <w:szCs w:val="24"/>
                <w:lang w:val="en-US" w:eastAsia="zh-CN"/>
              </w:rPr>
              <w:t>5</w:t>
            </w:r>
          </w:p>
        </w:tc>
        <w:tc>
          <w:tcPr>
            <w:tcW w:w="2097" w:type="dxa"/>
            <w:vAlign w:val="center"/>
          </w:tcPr>
          <w:p>
            <w:pPr>
              <w:rPr>
                <w:rFonts w:ascii="仿宋" w:hAnsi="仿宋" w:eastAsia="仿宋" w:cs="楷体"/>
                <w:color w:val="auto"/>
                <w:sz w:val="24"/>
                <w:szCs w:val="24"/>
              </w:rPr>
            </w:pPr>
            <w:r>
              <w:rPr>
                <w:rFonts w:hint="eastAsia" w:ascii="仿宋" w:hAnsi="仿宋" w:eastAsia="仿宋" w:cs="楷体"/>
                <w:color w:val="auto"/>
                <w:sz w:val="24"/>
                <w:szCs w:val="24"/>
              </w:rPr>
              <w:t>合同履行地点和方式</w:t>
            </w:r>
          </w:p>
        </w:tc>
        <w:tc>
          <w:tcPr>
            <w:tcW w:w="6259" w:type="dxa"/>
            <w:vAlign w:val="center"/>
          </w:tcPr>
          <w:p>
            <w:r>
              <w:rPr>
                <w:rFonts w:hint="eastAsia" w:ascii="仿宋" w:hAnsi="仿宋" w:eastAsia="仿宋" w:cs="楷体"/>
                <w:color w:val="auto"/>
                <w:sz w:val="24"/>
                <w:szCs w:val="24"/>
              </w:rPr>
              <w:t>1.提供服务的时间、地点、方式</w:t>
            </w:r>
          </w:p>
          <w:p>
            <w:pPr>
              <w:rPr>
                <w:rFonts w:hint="default" w:ascii="仿宋" w:hAnsi="仿宋" w:eastAsia="仿宋" w:cs="楷体"/>
                <w:color w:val="auto"/>
                <w:sz w:val="24"/>
                <w:szCs w:val="24"/>
              </w:rPr>
            </w:pPr>
            <w:r>
              <w:rPr>
                <w:rFonts w:hint="eastAsia" w:ascii="仿宋" w:hAnsi="仿宋" w:eastAsia="仿宋" w:cs="楷体"/>
                <w:color w:val="auto"/>
                <w:sz w:val="24"/>
                <w:szCs w:val="24"/>
                <w:lang w:eastAsia="zh-CN"/>
              </w:rPr>
              <w:t>：</w:t>
            </w:r>
            <w:r>
              <w:rPr>
                <w:rFonts w:hint="eastAsia" w:ascii="仿宋" w:hAnsi="仿宋" w:eastAsia="仿宋" w:cs="楷体"/>
                <w:color w:val="auto"/>
                <w:sz w:val="24"/>
                <w:szCs w:val="24"/>
                <w:lang w:val="en-US" w:eastAsia="zh-CN"/>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lang w:eastAsia="zh-CN"/>
              </w:rPr>
            </w:pPr>
            <w:r>
              <w:rPr>
                <w:rFonts w:hint="eastAsia" w:ascii="仿宋" w:hAnsi="仿宋" w:eastAsia="仿宋" w:cs="楷体"/>
                <w:color w:val="auto"/>
                <w:sz w:val="24"/>
                <w:szCs w:val="24"/>
                <w:lang w:val="en-US" w:eastAsia="zh-CN"/>
              </w:rPr>
              <w:t>6</w:t>
            </w:r>
          </w:p>
        </w:tc>
        <w:tc>
          <w:tcPr>
            <w:tcW w:w="2097" w:type="dxa"/>
            <w:vAlign w:val="center"/>
          </w:tcPr>
          <w:p>
            <w:pPr>
              <w:rPr>
                <w:rFonts w:ascii="仿宋" w:hAnsi="仿宋" w:eastAsia="仿宋" w:cs="楷体"/>
                <w:color w:val="auto"/>
                <w:sz w:val="24"/>
                <w:szCs w:val="24"/>
              </w:rPr>
            </w:pPr>
            <w:r>
              <w:rPr>
                <w:rFonts w:hint="eastAsia" w:ascii="仿宋" w:hAnsi="仿宋" w:eastAsia="仿宋" w:cs="楷体"/>
                <w:color w:val="auto"/>
                <w:sz w:val="24"/>
                <w:szCs w:val="24"/>
              </w:rPr>
              <w:t>公开选取方式</w:t>
            </w:r>
          </w:p>
        </w:tc>
        <w:tc>
          <w:tcPr>
            <w:tcW w:w="6259" w:type="dxa"/>
            <w:vAlign w:val="center"/>
          </w:tcPr>
          <w:p>
            <w:pPr>
              <w:rPr>
                <w:rFonts w:ascii="仿宋" w:hAnsi="仿宋" w:eastAsia="仿宋" w:cs="楷体"/>
                <w:color w:val="auto"/>
                <w:sz w:val="24"/>
                <w:szCs w:val="24"/>
              </w:rPr>
            </w:pPr>
            <w:r>
              <w:rPr>
                <w:rFonts w:hint="eastAsia" w:ascii="仿宋" w:hAnsi="仿宋" w:eastAsia="仿宋" w:cs="楷体"/>
                <w:color w:val="auto"/>
                <w:sz w:val="24"/>
                <w:szCs w:val="24"/>
              </w:rPr>
              <w:t>公开选取方式：</w:t>
            </w:r>
            <w:r>
              <w:rPr>
                <w:rFonts w:hint="eastAsia" w:ascii="仿宋" w:hAnsi="仿宋" w:eastAsia="仿宋" w:cs="楷体"/>
                <w:color w:val="auto"/>
                <w:sz w:val="24"/>
                <w:szCs w:val="24"/>
                <w:lang w:val="en-US" w:eastAsia="zh-CN"/>
              </w:rPr>
              <w:t>通过资格要求的投标单位中选取综合得分最高投标单位前3名作为中选候选人，由采购人向中标候选人进行询价，最低价为中标单位</w:t>
            </w:r>
            <w:r>
              <w:rPr>
                <w:rFonts w:hint="eastAsia" w:ascii="仿宋" w:hAnsi="仿宋" w:eastAsia="仿宋" w:cs="楷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7</w:t>
            </w:r>
          </w:p>
        </w:tc>
        <w:tc>
          <w:tcPr>
            <w:tcW w:w="2097" w:type="dxa"/>
            <w:vAlign w:val="center"/>
          </w:tcPr>
          <w:p>
            <w:pPr>
              <w:rPr>
                <w:rFonts w:hint="eastAsia" w:ascii="仿宋" w:hAnsi="仿宋" w:eastAsia="仿宋" w:cs="楷体"/>
                <w:color w:val="auto"/>
                <w:sz w:val="24"/>
                <w:szCs w:val="24"/>
              </w:rPr>
            </w:pPr>
            <w:r>
              <w:rPr>
                <w:rFonts w:hint="eastAsia" w:ascii="仿宋" w:hAnsi="仿宋" w:eastAsia="仿宋" w:cs="楷体"/>
                <w:color w:val="auto"/>
                <w:sz w:val="24"/>
                <w:szCs w:val="24"/>
              </w:rPr>
              <w:t>分值构成</w:t>
            </w:r>
          </w:p>
        </w:tc>
        <w:tc>
          <w:tcPr>
            <w:tcW w:w="6259" w:type="dxa"/>
            <w:vAlign w:val="center"/>
          </w:tcPr>
          <w:p>
            <w:pPr>
              <w:rPr>
                <w:rFonts w:hint="eastAsia" w:ascii="仿宋" w:hAnsi="仿宋" w:eastAsia="仿宋" w:cs="楷体"/>
                <w:color w:val="auto"/>
                <w:sz w:val="24"/>
                <w:szCs w:val="24"/>
              </w:rPr>
            </w:pPr>
            <w:r>
              <w:rPr>
                <w:rFonts w:hint="eastAsia" w:ascii="仿宋" w:hAnsi="仿宋" w:eastAsia="仿宋" w:cs="楷体"/>
                <w:color w:val="auto"/>
                <w:sz w:val="24"/>
                <w:szCs w:val="24"/>
              </w:rPr>
              <w:t>总分：10分。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64" w:type="dxa"/>
            <w:vMerge w:val="restart"/>
            <w:vAlign w:val="center"/>
          </w:tcPr>
          <w:p>
            <w:pPr>
              <w:jc w:val="cente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8</w:t>
            </w:r>
          </w:p>
        </w:tc>
        <w:tc>
          <w:tcPr>
            <w:tcW w:w="2097" w:type="dxa"/>
            <w:vAlign w:val="center"/>
          </w:tcPr>
          <w:p>
            <w:pPr>
              <w:rPr>
                <w:rFonts w:hint="default"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对本项目的服务响应情况（3分）</w:t>
            </w:r>
          </w:p>
        </w:tc>
        <w:tc>
          <w:tcPr>
            <w:tcW w:w="6259" w:type="dxa"/>
            <w:vAlign w:val="center"/>
          </w:tcPr>
          <w:p>
            <w:pPr>
              <w:numPr>
                <w:ilvl w:val="-1"/>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对本项目服务响应情况描述，包括但不限于收到通知到达采购人公司的时间或到达项目现场的时间，按最优条件打分：</w:t>
            </w:r>
          </w:p>
          <w:p>
            <w:pPr>
              <w:numPr>
                <w:ilvl w:val="-1"/>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（1）响应时间为1小时内的，得3分；</w:t>
            </w:r>
          </w:p>
          <w:p>
            <w:pPr>
              <w:numPr>
                <w:ilvl w:val="-1"/>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（2）响应时间为1小时至4小时的，得2分；</w:t>
            </w:r>
          </w:p>
          <w:p>
            <w:pPr>
              <w:numPr>
                <w:ilvl w:val="-1"/>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（3）响应时间为超过4个小时的，得1分。</w:t>
            </w:r>
          </w:p>
          <w:p>
            <w:pPr>
              <w:numPr>
                <w:ilvl w:val="-1"/>
                <w:numId w:val="0"/>
              </w:numPr>
              <w:rPr>
                <w:rFonts w:hint="default"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注：对本项无任何描述的，则得0分。投标单位根据自身实际情况进行阐述，可提供包括但不限于办公地址、导航路线等证明材料，最终由评审小组进行判定。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Merge w:val="continue"/>
            <w:vAlign w:val="center"/>
          </w:tcPr>
          <w:p>
            <w:pPr>
              <w:jc w:val="center"/>
              <w:rPr>
                <w:rFonts w:hint="eastAsia" w:ascii="仿宋" w:hAnsi="仿宋" w:eastAsia="仿宋" w:cs="楷体"/>
                <w:color w:val="auto"/>
                <w:sz w:val="24"/>
                <w:szCs w:val="24"/>
                <w:lang w:val="en-US" w:eastAsia="zh-CN"/>
              </w:rPr>
            </w:pPr>
          </w:p>
        </w:tc>
        <w:tc>
          <w:tcPr>
            <w:tcW w:w="2097" w:type="dxa"/>
            <w:vAlign w:val="center"/>
          </w:tcPr>
          <w:p>
            <w:pPr>
              <w:rPr>
                <w:rFonts w:hint="default"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类似业绩实施情况（3分）</w:t>
            </w:r>
          </w:p>
        </w:tc>
        <w:tc>
          <w:tcPr>
            <w:tcW w:w="6259" w:type="dxa"/>
            <w:vAlign w:val="center"/>
          </w:tcPr>
          <w:p>
            <w:pPr>
              <w:numPr>
                <w:ilvl w:val="0"/>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类似项目实施情况描述，需提供近三年内（公告发布之日往前顺推）所承担过类似项目的情况，需体现合同所属地、关键内容、签署页等，按最优条件打分：</w:t>
            </w:r>
          </w:p>
          <w:p>
            <w:pPr>
              <w:numPr>
                <w:ilvl w:val="0"/>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（1）类似项目与本项目实施条件契合度最高，得3分；</w:t>
            </w:r>
          </w:p>
          <w:p>
            <w:pPr>
              <w:numPr>
                <w:ilvl w:val="0"/>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（2）类似项目与本项目实施条件契合度较高，得2分；</w:t>
            </w:r>
          </w:p>
          <w:p>
            <w:pPr>
              <w:numPr>
                <w:ilvl w:val="0"/>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（3）类似项目与本项目实施条件契合度最低，得1分。</w:t>
            </w:r>
          </w:p>
          <w:p>
            <w:pPr>
              <w:numPr>
                <w:ilvl w:val="0"/>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注：类似项目指：城市道路工程监理 ；对本项无任何描述的，则得0分。投标单位根据自身实际情况进行阐述，最终由评审小组进行判定。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64" w:type="dxa"/>
            <w:vMerge w:val="continue"/>
            <w:vAlign w:val="center"/>
          </w:tcPr>
          <w:p>
            <w:pPr>
              <w:jc w:val="center"/>
              <w:rPr>
                <w:rFonts w:hint="eastAsia" w:ascii="仿宋" w:hAnsi="仿宋" w:eastAsia="仿宋" w:cs="楷体"/>
                <w:color w:val="auto"/>
                <w:sz w:val="24"/>
                <w:szCs w:val="24"/>
                <w:lang w:val="en-US" w:eastAsia="zh-CN"/>
              </w:rPr>
            </w:pPr>
          </w:p>
        </w:tc>
        <w:tc>
          <w:tcPr>
            <w:tcW w:w="2097" w:type="dxa"/>
            <w:vAlign w:val="center"/>
          </w:tcPr>
          <w:p>
            <w:pPr>
              <w:rPr>
                <w:rFonts w:hint="default"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本项目实施的优势（4分）</w:t>
            </w:r>
          </w:p>
        </w:tc>
        <w:tc>
          <w:tcPr>
            <w:tcW w:w="6259" w:type="dxa"/>
            <w:vAlign w:val="center"/>
          </w:tcPr>
          <w:p>
            <w:pPr>
              <w:numPr>
                <w:ilvl w:val="0"/>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拟完成本项目所具体的团队配套情况、业务沟通协调能力等。所有投标单位的阐述情况由优到差排序：</w:t>
            </w:r>
          </w:p>
          <w:p>
            <w:pPr>
              <w:numPr>
                <w:ilvl w:val="0"/>
                <w:numId w:val="2"/>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阐述情况为优的，得4分；</w:t>
            </w:r>
          </w:p>
          <w:p>
            <w:pPr>
              <w:numPr>
                <w:ilvl w:val="0"/>
                <w:numId w:val="2"/>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阐述情况为中的，得2分；</w:t>
            </w:r>
          </w:p>
          <w:p>
            <w:pPr>
              <w:numPr>
                <w:ilvl w:val="0"/>
                <w:numId w:val="2"/>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阐述情况为差的，得1分。</w:t>
            </w:r>
          </w:p>
          <w:p>
            <w:pPr>
              <w:numPr>
                <w:ilvl w:val="0"/>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注：对本项无任何描述的，则得0分。投标单位根据自身实际情况进行阐述，最终由评审小组进行判定。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color w:val="auto"/>
                <w:kern w:val="2"/>
                <w:sz w:val="24"/>
                <w:szCs w:val="24"/>
                <w:lang w:val="en-US" w:eastAsia="zh-CN" w:bidi="ar-SA"/>
              </w:rPr>
            </w:pPr>
            <w:r>
              <w:rPr>
                <w:rFonts w:hint="eastAsia" w:ascii="仿宋" w:hAnsi="仿宋" w:eastAsia="仿宋" w:cs="楷体"/>
                <w:color w:val="auto"/>
                <w:sz w:val="24"/>
                <w:szCs w:val="24"/>
                <w:lang w:val="en-US" w:eastAsia="zh-CN"/>
              </w:rPr>
              <w:t>11</w:t>
            </w:r>
          </w:p>
        </w:tc>
        <w:tc>
          <w:tcPr>
            <w:tcW w:w="2097" w:type="dxa"/>
            <w:vAlign w:val="center"/>
          </w:tcPr>
          <w:p>
            <w:pPr>
              <w:rPr>
                <w:rFonts w:ascii="仿宋" w:hAnsi="仿宋" w:eastAsia="仿宋" w:cs="楷体"/>
                <w:color w:val="auto"/>
                <w:sz w:val="24"/>
                <w:szCs w:val="24"/>
              </w:rPr>
            </w:pPr>
            <w:r>
              <w:rPr>
                <w:rFonts w:hint="eastAsia" w:ascii="仿宋" w:hAnsi="仿宋" w:eastAsia="仿宋" w:cs="楷体"/>
                <w:color w:val="auto"/>
                <w:sz w:val="24"/>
                <w:szCs w:val="24"/>
              </w:rPr>
              <w:t>服务时间</w:t>
            </w:r>
          </w:p>
        </w:tc>
        <w:tc>
          <w:tcPr>
            <w:tcW w:w="6259" w:type="dxa"/>
            <w:vAlign w:val="center"/>
          </w:tcPr>
          <w:p>
            <w:pPr>
              <w:rPr>
                <w:rFonts w:hint="default"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color w:val="auto"/>
                <w:kern w:val="2"/>
                <w:sz w:val="24"/>
                <w:szCs w:val="24"/>
                <w:lang w:val="en-US" w:eastAsia="zh-CN" w:bidi="ar-SA"/>
              </w:rPr>
            </w:pPr>
            <w:r>
              <w:rPr>
                <w:rFonts w:hint="eastAsia" w:ascii="仿宋" w:hAnsi="仿宋" w:eastAsia="仿宋" w:cs="楷体"/>
                <w:color w:val="auto"/>
                <w:sz w:val="24"/>
                <w:szCs w:val="24"/>
              </w:rPr>
              <w:t>1</w:t>
            </w:r>
            <w:r>
              <w:rPr>
                <w:rFonts w:hint="eastAsia" w:ascii="仿宋" w:hAnsi="仿宋" w:eastAsia="仿宋" w:cs="楷体"/>
                <w:color w:val="auto"/>
                <w:sz w:val="24"/>
                <w:szCs w:val="24"/>
                <w:lang w:val="en-US" w:eastAsia="zh-CN"/>
              </w:rPr>
              <w:t>2</w:t>
            </w:r>
          </w:p>
        </w:tc>
        <w:tc>
          <w:tcPr>
            <w:tcW w:w="2097" w:type="dxa"/>
            <w:vAlign w:val="center"/>
          </w:tcPr>
          <w:p>
            <w:pPr>
              <w:rPr>
                <w:rFonts w:ascii="仿宋" w:hAnsi="仿宋" w:eastAsia="仿宋" w:cs="楷体"/>
                <w:color w:val="auto"/>
                <w:sz w:val="24"/>
                <w:szCs w:val="24"/>
              </w:rPr>
            </w:pPr>
            <w:r>
              <w:rPr>
                <w:rFonts w:hint="eastAsia" w:ascii="仿宋" w:hAnsi="仿宋" w:eastAsia="仿宋" w:cs="楷体"/>
                <w:color w:val="auto"/>
                <w:sz w:val="24"/>
                <w:szCs w:val="24"/>
              </w:rPr>
              <w:t>验收</w:t>
            </w:r>
          </w:p>
        </w:tc>
        <w:tc>
          <w:tcPr>
            <w:tcW w:w="6259" w:type="dxa"/>
            <w:vAlign w:val="center"/>
          </w:tcPr>
          <w:p>
            <w:pPr>
              <w:tabs>
                <w:tab w:val="left" w:pos="312"/>
              </w:tabs>
              <w:rPr>
                <w:rFonts w:ascii="仿宋" w:hAnsi="仿宋" w:eastAsia="仿宋" w:cs="楷体"/>
                <w:color w:val="auto"/>
                <w:sz w:val="24"/>
                <w:szCs w:val="24"/>
              </w:rPr>
            </w:pPr>
            <w:r>
              <w:rPr>
                <w:rFonts w:hint="eastAsia" w:ascii="仿宋" w:hAnsi="仿宋" w:eastAsia="仿宋" w:cs="楷体"/>
                <w:color w:val="auto"/>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sz w:val="24"/>
                <w:szCs w:val="24"/>
              </w:rPr>
              <w:t>1</w:t>
            </w:r>
            <w:r>
              <w:rPr>
                <w:rFonts w:hint="eastAsia" w:ascii="仿宋" w:hAnsi="仿宋" w:eastAsia="仿宋" w:cs="楷体"/>
                <w:color w:val="auto"/>
                <w:sz w:val="24"/>
                <w:szCs w:val="24"/>
                <w:lang w:val="en-US" w:eastAsia="zh-CN"/>
              </w:rPr>
              <w:t>3</w:t>
            </w:r>
          </w:p>
        </w:tc>
        <w:tc>
          <w:tcPr>
            <w:tcW w:w="2097" w:type="dxa"/>
            <w:vAlign w:val="center"/>
          </w:tcPr>
          <w:p>
            <w:pPr>
              <w:rPr>
                <w:rFonts w:ascii="仿宋" w:hAnsi="仿宋" w:eastAsia="仿宋" w:cs="楷体"/>
                <w:color w:val="auto"/>
                <w:sz w:val="24"/>
                <w:szCs w:val="24"/>
              </w:rPr>
            </w:pPr>
            <w:r>
              <w:rPr>
                <w:rFonts w:hint="eastAsia" w:ascii="仿宋" w:hAnsi="仿宋" w:eastAsia="仿宋" w:cs="楷体"/>
                <w:color w:val="auto"/>
                <w:sz w:val="24"/>
                <w:szCs w:val="24"/>
              </w:rPr>
              <w:t>结算方式</w:t>
            </w:r>
          </w:p>
        </w:tc>
        <w:tc>
          <w:tcPr>
            <w:tcW w:w="6259" w:type="dxa"/>
            <w:vAlign w:val="center"/>
          </w:tcPr>
          <w:p>
            <w:pPr>
              <w:rPr>
                <w:rFonts w:ascii="仿宋" w:hAnsi="仿宋" w:eastAsia="仿宋" w:cs="楷体"/>
                <w:color w:val="auto"/>
                <w:sz w:val="24"/>
                <w:szCs w:val="24"/>
              </w:rPr>
            </w:pPr>
            <w:r>
              <w:rPr>
                <w:rFonts w:hint="eastAsia" w:ascii="仿宋" w:hAnsi="仿宋" w:eastAsia="仿宋" w:cs="楷体"/>
                <w:color w:val="auto"/>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sz w:val="24"/>
                <w:szCs w:val="24"/>
              </w:rPr>
              <w:t>1</w:t>
            </w:r>
            <w:r>
              <w:rPr>
                <w:rFonts w:hint="eastAsia" w:ascii="仿宋" w:hAnsi="仿宋" w:eastAsia="仿宋" w:cs="楷体"/>
                <w:color w:val="auto"/>
                <w:sz w:val="24"/>
                <w:szCs w:val="24"/>
                <w:lang w:val="en-US" w:eastAsia="zh-CN"/>
              </w:rPr>
              <w:t>4</w:t>
            </w:r>
          </w:p>
        </w:tc>
        <w:tc>
          <w:tcPr>
            <w:tcW w:w="2097" w:type="dxa"/>
            <w:vAlign w:val="center"/>
          </w:tcPr>
          <w:p>
            <w:pPr>
              <w:rPr>
                <w:rFonts w:ascii="仿宋" w:hAnsi="仿宋" w:eastAsia="仿宋" w:cs="楷体"/>
                <w:color w:val="auto"/>
                <w:sz w:val="24"/>
                <w:szCs w:val="24"/>
              </w:rPr>
            </w:pPr>
            <w:r>
              <w:rPr>
                <w:rFonts w:hint="eastAsia" w:ascii="仿宋" w:hAnsi="仿宋" w:eastAsia="仿宋" w:cs="楷体"/>
                <w:color w:val="auto"/>
                <w:sz w:val="24"/>
                <w:szCs w:val="24"/>
              </w:rPr>
              <w:t>违约责任</w:t>
            </w:r>
          </w:p>
        </w:tc>
        <w:tc>
          <w:tcPr>
            <w:tcW w:w="6259" w:type="dxa"/>
            <w:vAlign w:val="center"/>
          </w:tcPr>
          <w:p>
            <w:pPr>
              <w:rPr>
                <w:rFonts w:ascii="仿宋" w:hAnsi="仿宋" w:eastAsia="仿宋" w:cs="楷体"/>
                <w:color w:val="auto"/>
                <w:sz w:val="24"/>
                <w:szCs w:val="24"/>
              </w:rPr>
            </w:pPr>
            <w:r>
              <w:rPr>
                <w:rFonts w:hint="eastAsia" w:ascii="仿宋" w:hAnsi="仿宋" w:eastAsia="仿宋" w:cs="楷体"/>
                <w:color w:val="auto"/>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sz w:val="24"/>
                <w:szCs w:val="24"/>
              </w:rPr>
              <w:t>1</w:t>
            </w:r>
            <w:r>
              <w:rPr>
                <w:rFonts w:hint="eastAsia" w:ascii="仿宋" w:hAnsi="仿宋" w:eastAsia="仿宋" w:cs="楷体"/>
                <w:color w:val="auto"/>
                <w:sz w:val="24"/>
                <w:szCs w:val="24"/>
                <w:lang w:val="en-US" w:eastAsia="zh-CN"/>
              </w:rPr>
              <w:t>5</w:t>
            </w:r>
          </w:p>
        </w:tc>
        <w:tc>
          <w:tcPr>
            <w:tcW w:w="2097" w:type="dxa"/>
            <w:vAlign w:val="center"/>
          </w:tcPr>
          <w:p>
            <w:pPr>
              <w:rPr>
                <w:rFonts w:ascii="仿宋" w:hAnsi="仿宋" w:eastAsia="仿宋" w:cs="楷体"/>
                <w:color w:val="auto"/>
                <w:sz w:val="24"/>
                <w:szCs w:val="24"/>
              </w:rPr>
            </w:pPr>
            <w:r>
              <w:rPr>
                <w:rFonts w:hint="eastAsia" w:ascii="仿宋" w:hAnsi="仿宋" w:eastAsia="仿宋" w:cs="楷体"/>
                <w:color w:val="auto"/>
                <w:sz w:val="24"/>
                <w:szCs w:val="24"/>
              </w:rPr>
              <w:t>补充合同和</w:t>
            </w:r>
          </w:p>
          <w:p>
            <w:pPr>
              <w:rPr>
                <w:rFonts w:ascii="仿宋" w:hAnsi="仿宋" w:eastAsia="仿宋" w:cs="楷体"/>
                <w:color w:val="auto"/>
                <w:sz w:val="24"/>
                <w:szCs w:val="24"/>
              </w:rPr>
            </w:pPr>
            <w:r>
              <w:rPr>
                <w:rFonts w:hint="eastAsia" w:ascii="仿宋" w:hAnsi="仿宋" w:eastAsia="仿宋" w:cs="楷体"/>
                <w:color w:val="auto"/>
                <w:sz w:val="24"/>
                <w:szCs w:val="24"/>
              </w:rPr>
              <w:t>解决争议方式</w:t>
            </w:r>
          </w:p>
        </w:tc>
        <w:tc>
          <w:tcPr>
            <w:tcW w:w="6259" w:type="dxa"/>
            <w:vAlign w:val="center"/>
          </w:tcPr>
          <w:p>
            <w:pPr>
              <w:rPr>
                <w:rFonts w:ascii="仿宋" w:hAnsi="仿宋" w:eastAsia="仿宋" w:cs="楷体"/>
                <w:color w:val="auto"/>
                <w:sz w:val="24"/>
                <w:szCs w:val="24"/>
              </w:rPr>
            </w:pPr>
            <w:r>
              <w:rPr>
                <w:rFonts w:hint="eastAsia" w:ascii="仿宋" w:hAnsi="仿宋" w:eastAsia="仿宋" w:cs="楷体"/>
                <w:color w:val="auto"/>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64" w:type="dxa"/>
            <w:vAlign w:val="center"/>
          </w:tcPr>
          <w:p>
            <w:pPr>
              <w:jc w:val="center"/>
              <w:rPr>
                <w:rFonts w:hint="default"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16</w:t>
            </w:r>
          </w:p>
        </w:tc>
        <w:tc>
          <w:tcPr>
            <w:tcW w:w="2097" w:type="dxa"/>
            <w:vAlign w:val="center"/>
          </w:tcPr>
          <w:p>
            <w:pPr>
              <w:rPr>
                <w:rFonts w:hint="eastAsia" w:ascii="仿宋" w:hAnsi="仿宋" w:eastAsia="仿宋" w:cs="楷体"/>
                <w:color w:val="auto"/>
                <w:sz w:val="24"/>
                <w:szCs w:val="24"/>
              </w:rPr>
            </w:pPr>
            <w:r>
              <w:rPr>
                <w:rFonts w:hint="eastAsia" w:ascii="仿宋" w:hAnsi="仿宋" w:eastAsia="仿宋" w:cs="楷体"/>
                <w:color w:val="auto"/>
                <w:sz w:val="24"/>
                <w:szCs w:val="24"/>
              </w:rPr>
              <w:t>算术错误修正</w:t>
            </w:r>
          </w:p>
        </w:tc>
        <w:tc>
          <w:tcPr>
            <w:tcW w:w="6259" w:type="dxa"/>
            <w:vAlign w:val="center"/>
          </w:tcPr>
          <w:p>
            <w:p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投标报价有算术错误的，评审小组按以下原则对投标总报价进行修正。</w:t>
            </w:r>
          </w:p>
          <w:p>
            <w:p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（1）投标文件中的大写金额与小写金额不一致的，以大写金额为准；</w:t>
            </w:r>
          </w:p>
          <w:p>
            <w:p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2）总价金额与依据单价（或费率或折率）计算出的结果不一致的，以单价金额（或费率或折率）为准修正总价，但单价金额（或费率或折率）小数点有明显错误的除外；如果单价金额（或费率或折率）小数点有明显错误，应以总价为准修正单价（或费率或折率）。</w:t>
            </w:r>
          </w:p>
          <w:p>
            <w:p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（3）修正后的总报价参与报价得分计算。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lang w:eastAsia="zh-CN"/>
              </w:rPr>
            </w:pPr>
            <w:r>
              <w:rPr>
                <w:rFonts w:hint="eastAsia" w:ascii="仿宋" w:hAnsi="仿宋" w:eastAsia="仿宋" w:cs="楷体"/>
                <w:color w:val="auto"/>
                <w:sz w:val="24"/>
                <w:szCs w:val="24"/>
              </w:rPr>
              <w:t>1</w:t>
            </w:r>
            <w:r>
              <w:rPr>
                <w:rFonts w:hint="eastAsia" w:ascii="仿宋" w:hAnsi="仿宋" w:eastAsia="仿宋" w:cs="楷体"/>
                <w:color w:val="auto"/>
                <w:sz w:val="24"/>
                <w:szCs w:val="24"/>
                <w:lang w:val="en-US" w:eastAsia="zh-CN"/>
              </w:rPr>
              <w:t>7</w:t>
            </w:r>
          </w:p>
        </w:tc>
        <w:tc>
          <w:tcPr>
            <w:tcW w:w="2097" w:type="dxa"/>
            <w:vAlign w:val="center"/>
          </w:tcPr>
          <w:p>
            <w:pPr>
              <w:jc w:val="left"/>
              <w:rPr>
                <w:rFonts w:ascii="仿宋" w:hAnsi="仿宋" w:eastAsia="仿宋" w:cs="楷体"/>
                <w:color w:val="auto"/>
                <w:sz w:val="24"/>
                <w:szCs w:val="24"/>
              </w:rPr>
            </w:pPr>
            <w:r>
              <w:rPr>
                <w:rFonts w:hint="eastAsia" w:ascii="仿宋" w:hAnsi="仿宋" w:eastAsia="仿宋" w:cs="楷体"/>
                <w:color w:val="auto"/>
                <w:sz w:val="24"/>
                <w:szCs w:val="24"/>
              </w:rPr>
              <w:t>备注</w:t>
            </w:r>
          </w:p>
        </w:tc>
        <w:tc>
          <w:tcPr>
            <w:tcW w:w="6259" w:type="dxa"/>
            <w:vAlign w:val="center"/>
          </w:tcPr>
          <w:p>
            <w:pPr>
              <w:rPr>
                <w:rFonts w:hint="default"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1.采购人根据投标单位提供的投标文件，经评审后得分由高到低进行排序，最高得分的前</w:t>
            </w:r>
            <w:r>
              <w:rPr>
                <w:rFonts w:hint="eastAsia" w:ascii="仿宋" w:hAnsi="仿宋" w:eastAsia="仿宋" w:cs="楷体"/>
                <w:color w:val="auto"/>
                <w:sz w:val="24"/>
                <w:szCs w:val="24"/>
                <w:lang w:val="en-US" w:eastAsia="zh-CN"/>
              </w:rPr>
              <w:t>3名作为中选候选人，</w:t>
            </w:r>
            <w:r>
              <w:rPr>
                <w:rFonts w:hint="eastAsia" w:ascii="仿宋" w:hAnsi="仿宋" w:eastAsia="仿宋" w:cs="楷体"/>
                <w:color w:val="auto"/>
                <w:sz w:val="24"/>
              </w:rPr>
              <w:t>根据入围的候选人</w:t>
            </w:r>
            <w:r>
              <w:rPr>
                <w:rFonts w:hint="eastAsia" w:ascii="仿宋" w:hAnsi="仿宋" w:eastAsia="仿宋" w:cs="楷体"/>
                <w:color w:val="auto"/>
                <w:sz w:val="24"/>
                <w:szCs w:val="24"/>
                <w:lang w:val="en-US" w:eastAsia="zh-CN"/>
              </w:rPr>
              <w:t>，由采购人向中标候选人进行询价，</w:t>
            </w:r>
            <w:r>
              <w:rPr>
                <w:rFonts w:hint="eastAsia" w:ascii="仿宋" w:hAnsi="仿宋" w:eastAsia="仿宋" w:cs="楷体"/>
                <w:color w:val="auto"/>
                <w:sz w:val="24"/>
              </w:rPr>
              <w:t>按最低价中选方式，确定中选单位</w:t>
            </w:r>
            <w:r>
              <w:rPr>
                <w:rFonts w:hint="eastAsia" w:ascii="仿宋" w:hAnsi="仿宋" w:eastAsia="仿宋" w:cs="楷体"/>
                <w:color w:val="auto"/>
                <w:sz w:val="24"/>
                <w:lang w:eastAsia="zh-CN"/>
              </w:rPr>
              <w:t>。</w:t>
            </w:r>
            <w:r>
              <w:rPr>
                <w:rFonts w:hint="eastAsia" w:ascii="仿宋" w:hAnsi="仿宋" w:eastAsia="仿宋" w:cs="楷体"/>
                <w:color w:val="auto"/>
                <w:sz w:val="24"/>
                <w:szCs w:val="24"/>
                <w:lang w:val="en-US" w:eastAsia="zh-CN"/>
              </w:rPr>
              <w:t>如存在多名候选人同时并列第3名，则一并作为候选单位。</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 xml:space="preserve">2.合同须按照采购人提供的合同版本进行签订，投标单位参与报名即视为无条件同意按照采购人提供的合同版本签订合同，如未按照采购人提供的合同版本进行签约，采购人有权对该招标事项进行终止并重新招标。 </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3.合同的变更、终止等，适用《中华人民共和国民法典》等法律法规的规定。</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4.按索引目录顺序提供相应投标资料（后附）。</w:t>
            </w:r>
          </w:p>
          <w:p>
            <w:pPr>
              <w:pStyle w:val="2"/>
              <w:ind w:firstLine="0" w:firstLineChars="0"/>
              <w:rPr>
                <w:rFonts w:hint="eastAsia" w:ascii="仿宋" w:hAnsi="仿宋" w:eastAsia="仿宋" w:cs="楷体"/>
                <w:b/>
                <w:bCs/>
                <w:color w:val="auto"/>
                <w:sz w:val="24"/>
                <w:lang w:val="en-US" w:eastAsia="zh-CN"/>
              </w:rPr>
            </w:pPr>
            <w:r>
              <w:rPr>
                <w:rFonts w:hint="eastAsia" w:ascii="仿宋" w:hAnsi="仿宋" w:eastAsia="仿宋" w:cs="楷体"/>
                <w:color w:val="auto"/>
                <w:kern w:val="2"/>
                <w:sz w:val="24"/>
                <w:szCs w:val="24"/>
                <w:lang w:val="en-US" w:eastAsia="zh-CN" w:bidi="ar-SA"/>
              </w:rPr>
              <w:t>5.投标文件递交：</w:t>
            </w:r>
            <w:r>
              <w:rPr>
                <w:rFonts w:hint="eastAsia" w:ascii="仿宋" w:hAnsi="仿宋" w:eastAsia="仿宋" w:cs="楷体"/>
                <w:color w:val="auto"/>
                <w:sz w:val="24"/>
              </w:rPr>
              <w:t>于投标截止时间（202</w:t>
            </w:r>
            <w:r>
              <w:rPr>
                <w:rFonts w:hint="eastAsia" w:ascii="仿宋" w:hAnsi="仿宋" w:eastAsia="仿宋" w:cs="楷体"/>
                <w:color w:val="auto"/>
                <w:sz w:val="24"/>
                <w:lang w:eastAsia="zh-CN"/>
              </w:rPr>
              <w:t xml:space="preserve"> </w:t>
            </w:r>
            <w:r>
              <w:rPr>
                <w:rFonts w:hint="eastAsia" w:ascii="仿宋" w:hAnsi="仿宋" w:eastAsia="仿宋" w:cs="楷体"/>
                <w:color w:val="auto"/>
                <w:sz w:val="24"/>
              </w:rPr>
              <w:t>年</w:t>
            </w:r>
            <w:r>
              <w:rPr>
                <w:rFonts w:hint="eastAsia" w:ascii="仿宋" w:hAnsi="仿宋" w:eastAsia="仿宋" w:cs="楷体"/>
                <w:color w:val="auto"/>
                <w:sz w:val="24"/>
                <w:lang w:eastAsia="zh-CN"/>
              </w:rPr>
              <w:t xml:space="preserve"> </w:t>
            </w:r>
            <w:r>
              <w:rPr>
                <w:rFonts w:hint="eastAsia" w:ascii="仿宋" w:hAnsi="仿宋" w:eastAsia="仿宋" w:cs="楷体"/>
                <w:color w:val="auto"/>
                <w:sz w:val="24"/>
              </w:rPr>
              <w:t>月 日</w:t>
            </w:r>
            <w:r>
              <w:rPr>
                <w:rFonts w:hint="eastAsia" w:ascii="仿宋" w:hAnsi="仿宋" w:eastAsia="仿宋" w:cs="楷体"/>
                <w:color w:val="auto"/>
                <w:sz w:val="24"/>
                <w:lang w:eastAsia="zh-CN"/>
              </w:rPr>
              <w:t xml:space="preserve"> </w:t>
            </w:r>
            <w:r>
              <w:rPr>
                <w:rFonts w:hint="eastAsia" w:ascii="仿宋" w:hAnsi="仿宋" w:eastAsia="仿宋" w:cs="楷体"/>
                <w:color w:val="auto"/>
                <w:sz w:val="24"/>
              </w:rPr>
              <w:t>点</w:t>
            </w:r>
            <w:r>
              <w:rPr>
                <w:rFonts w:hint="eastAsia" w:ascii="仿宋" w:hAnsi="仿宋" w:eastAsia="仿宋" w:cs="楷体"/>
                <w:color w:val="auto"/>
                <w:sz w:val="24"/>
                <w:lang w:eastAsia="zh-CN"/>
              </w:rPr>
              <w:t xml:space="preserve"> </w:t>
            </w:r>
            <w:r>
              <w:rPr>
                <w:rFonts w:hint="eastAsia" w:ascii="仿宋" w:hAnsi="仿宋" w:eastAsia="仿宋" w:cs="楷体"/>
                <w:color w:val="auto"/>
                <w:sz w:val="24"/>
              </w:rPr>
              <w:t>分）前以电子邮件形式发送至邮箱：gdfyhj@163.com（邮件名称标注：</w:t>
            </w:r>
            <w:r>
              <w:rPr>
                <w:rFonts w:hint="eastAsia" w:ascii="仿宋" w:hAnsi="仿宋" w:eastAsia="仿宋" w:cs="楷体"/>
                <w:color w:val="auto"/>
                <w:sz w:val="24"/>
                <w:lang w:eastAsia="zh-CN"/>
              </w:rPr>
              <w:t>投标单位</w:t>
            </w:r>
            <w:r>
              <w:rPr>
                <w:rFonts w:hint="eastAsia" w:ascii="仿宋" w:hAnsi="仿宋" w:eastAsia="仿宋" w:cs="楷体"/>
                <w:color w:val="auto"/>
                <w:sz w:val="24"/>
              </w:rPr>
              <w:t>名称+项目名称）</w:t>
            </w:r>
            <w:r>
              <w:rPr>
                <w:rFonts w:hint="eastAsia" w:ascii="仿宋" w:hAnsi="仿宋" w:eastAsia="仿宋" w:cs="楷体"/>
                <w:color w:val="auto"/>
                <w:sz w:val="24"/>
                <w:lang w:eastAsia="zh-CN"/>
              </w:rPr>
              <w:t>，</w:t>
            </w:r>
            <w:r>
              <w:rPr>
                <w:rFonts w:hint="eastAsia" w:ascii="仿宋" w:hAnsi="仿宋" w:eastAsia="仿宋" w:cs="楷体"/>
                <w:color w:val="auto"/>
                <w:sz w:val="24"/>
              </w:rPr>
              <w:t>明确要求</w:t>
            </w:r>
            <w:r>
              <w:rPr>
                <w:rFonts w:hint="eastAsia" w:ascii="仿宋" w:hAnsi="仿宋" w:eastAsia="仿宋" w:cs="楷体"/>
                <w:color w:val="auto"/>
                <w:sz w:val="24"/>
                <w:lang w:eastAsia="zh-CN"/>
              </w:rPr>
              <w:t>投标单位</w:t>
            </w:r>
            <w:r>
              <w:rPr>
                <w:rFonts w:hint="eastAsia" w:ascii="仿宋" w:hAnsi="仿宋" w:eastAsia="仿宋" w:cs="楷体"/>
                <w:color w:val="auto"/>
                <w:sz w:val="24"/>
              </w:rPr>
              <w:t>加盖单位章之处，必须加盖单位章，同时必须加盖骑缝章。</w:t>
            </w:r>
            <w:r>
              <w:rPr>
                <w:rFonts w:hint="eastAsia" w:ascii="仿宋" w:hAnsi="仿宋" w:eastAsia="仿宋" w:cs="楷体"/>
                <w:b/>
                <w:bCs/>
                <w:color w:val="auto"/>
                <w:sz w:val="24"/>
                <w:lang w:val="en-US" w:eastAsia="zh-CN"/>
              </w:rPr>
              <w:t>投标文件应简洁且表述明确，页码总数最多不得超过100页，否则评审时有权视为无效投标文件。</w:t>
            </w:r>
          </w:p>
          <w:p>
            <w:pPr>
              <w:ind w:left="0" w:leftChars="0" w:firstLineChars="0"/>
              <w:rPr>
                <w:color w:val="auto"/>
              </w:rPr>
            </w:pPr>
            <w:r>
              <w:rPr>
                <w:rFonts w:hint="eastAsia" w:ascii="仿宋" w:hAnsi="仿宋" w:eastAsia="仿宋" w:cs="楷体"/>
                <w:color w:val="auto"/>
                <w:sz w:val="24"/>
                <w:lang w:val="en-US" w:eastAsia="zh-CN"/>
              </w:rPr>
              <w:t>6.如参与投标的单位数量或通过资格审查的单位数量不足3家，则需重新采购。</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BE729"/>
    <w:multiLevelType w:val="singleLevel"/>
    <w:tmpl w:val="C6BBE729"/>
    <w:lvl w:ilvl="0" w:tentative="0">
      <w:start w:val="3"/>
      <w:numFmt w:val="decimal"/>
      <w:lvlText w:val="%1."/>
      <w:lvlJc w:val="left"/>
      <w:pPr>
        <w:tabs>
          <w:tab w:val="left" w:pos="312"/>
        </w:tabs>
      </w:pPr>
    </w:lvl>
  </w:abstractNum>
  <w:abstractNum w:abstractNumId="1">
    <w:nsid w:val="1E890769"/>
    <w:multiLevelType w:val="singleLevel"/>
    <w:tmpl w:val="1E89076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02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2025-03-13T03:30:06Z</dcterms:created>
  <dc:creator>Lenovo</dc:creator>
  <cp:lastModifiedBy>张13534451574</cp:lastModifiedBy>
  <dcterms:modified xsi:type="dcterms:W3CDTF">2025-03-13T03:31:41Z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E8CA920C5EE848A6949F63A38BDF9B19</vt:lpwstr>
  </property>
</Properties>
</file>